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560" w:lineRule="exact"/>
        <w:jc w:val="left"/>
        <w:outlineLvl w:val="1"/>
        <w:rPr>
          <w:rFonts w:ascii="方正小标宋_GBK" w:hAnsi="Cambria" w:eastAsia="方正小标宋_GBK"/>
          <w:bCs/>
          <w:sz w:val="32"/>
          <w:szCs w:val="32"/>
        </w:rPr>
      </w:pPr>
      <w:bookmarkStart w:id="0" w:name="OLE_LINK3"/>
      <w:bookmarkStart w:id="1" w:name="OLE_LINK15"/>
      <w:bookmarkStart w:id="2" w:name="OLE_LINK16"/>
      <w:r>
        <w:rPr>
          <w:rFonts w:hint="eastAsia" w:ascii="方正小标宋_GBK" w:hAnsi="Cambria" w:eastAsia="方正小标宋_GBK"/>
          <w:bCs/>
          <w:sz w:val="32"/>
          <w:szCs w:val="32"/>
        </w:rPr>
        <w:t>附件</w:t>
      </w:r>
    </w:p>
    <w:p>
      <w:pPr>
        <w:keepNext/>
        <w:keepLines/>
        <w:spacing w:line="560" w:lineRule="exact"/>
        <w:jc w:val="center"/>
        <w:outlineLvl w:val="1"/>
        <w:rPr>
          <w:rFonts w:ascii="方正小标宋_GBK" w:hAnsi="Cambria" w:eastAsia="方正小标宋_GBK"/>
          <w:bCs/>
          <w:sz w:val="44"/>
          <w:szCs w:val="32"/>
        </w:rPr>
      </w:pPr>
      <w:r>
        <w:rPr>
          <w:rFonts w:hint="eastAsia" w:ascii="方正小标宋_GBK" w:hAnsi="Cambria" w:eastAsia="方正小标宋_GBK"/>
          <w:bCs/>
          <w:sz w:val="44"/>
          <w:szCs w:val="32"/>
        </w:rPr>
        <w:t>青岛市建设项目用地预</w:t>
      </w:r>
      <w:bookmarkStart w:id="61" w:name="_GoBack"/>
      <w:bookmarkEnd w:id="61"/>
      <w:r>
        <w:rPr>
          <w:rFonts w:hint="eastAsia" w:ascii="方正小标宋_GBK" w:hAnsi="Cambria" w:eastAsia="方正小标宋_GBK"/>
          <w:bCs/>
          <w:sz w:val="44"/>
          <w:szCs w:val="32"/>
        </w:rPr>
        <w:t>审与选址意见书、</w:t>
      </w:r>
    </w:p>
    <w:p>
      <w:pPr>
        <w:keepNext/>
        <w:keepLines/>
        <w:spacing w:line="560" w:lineRule="exact"/>
        <w:jc w:val="center"/>
        <w:outlineLvl w:val="1"/>
        <w:rPr>
          <w:rFonts w:ascii="方正小标宋_GBK" w:hAnsi="Cambria" w:eastAsia="方正小标宋_GBK"/>
          <w:bCs/>
          <w:sz w:val="44"/>
          <w:szCs w:val="32"/>
        </w:rPr>
      </w:pPr>
      <w:r>
        <w:rPr>
          <w:rFonts w:hint="eastAsia" w:ascii="方正小标宋_GBK" w:hAnsi="Cambria" w:eastAsia="方正小标宋_GBK"/>
          <w:bCs/>
          <w:sz w:val="44"/>
          <w:szCs w:val="32"/>
        </w:rPr>
        <w:t>规划条件技术规定</w:t>
      </w:r>
      <w:bookmarkEnd w:id="0"/>
    </w:p>
    <w:bookmarkEnd w:id="1"/>
    <w:bookmarkEnd w:id="2"/>
    <w:p>
      <w:pPr>
        <w:adjustRightInd w:val="0"/>
        <w:spacing w:line="360" w:lineRule="atLeast"/>
        <w:textAlignment w:val="baseline"/>
        <w:rPr>
          <w:rFonts w:eastAsia="方正小标宋_GBK"/>
          <w:sz w:val="32"/>
          <w:szCs w:val="32"/>
        </w:rPr>
      </w:pP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为落实深化</w:t>
      </w:r>
      <w:r>
        <w:rPr>
          <w:rFonts w:ascii="仿宋_GB2312" w:eastAsia="仿宋_GB2312"/>
          <w:sz w:val="32"/>
          <w:szCs w:val="32"/>
        </w:rPr>
        <w:t>规划用地“多审合一</w:t>
      </w:r>
      <w:r>
        <w:rPr>
          <w:rFonts w:hint="eastAsia" w:ascii="仿宋_GB2312" w:eastAsia="仿宋_GB2312"/>
          <w:sz w:val="32"/>
          <w:szCs w:val="32"/>
        </w:rPr>
        <w:t>、多证合一、多评合一</w:t>
      </w:r>
      <w:r>
        <w:rPr>
          <w:rFonts w:ascii="仿宋_GB2312" w:eastAsia="仿宋_GB2312"/>
          <w:sz w:val="32"/>
          <w:szCs w:val="32"/>
        </w:rPr>
        <w:t>”</w:t>
      </w:r>
      <w:r>
        <w:rPr>
          <w:rFonts w:hint="eastAsia" w:ascii="仿宋_GB2312" w:eastAsia="仿宋_GB2312"/>
          <w:sz w:val="32"/>
          <w:szCs w:val="32"/>
        </w:rPr>
        <w:t>改革要求，保障国土空间规划实施，进一步规范建设项目用地预审与选址意见、规划条件管理，持续提升服务水平，优化营商环境，根据《中华人民共和国城乡规划法》《中华人民共和国土地管理法》《土地管理法实施条例》《山东省城乡规划条例》《青岛市城乡规划条例》等有关要求，结合青岛实际，制定本规定。</w:t>
      </w:r>
    </w:p>
    <w:p>
      <w:pPr>
        <w:keepNext/>
        <w:keepLines/>
        <w:spacing w:line="560" w:lineRule="exact"/>
        <w:ind w:firstLine="640" w:firstLineChars="200"/>
        <w:jc w:val="left"/>
        <w:outlineLvl w:val="2"/>
        <w:rPr>
          <w:rFonts w:ascii="黑体" w:hAnsi="黑体" w:eastAsia="黑体"/>
          <w:bCs/>
          <w:sz w:val="32"/>
          <w:szCs w:val="32"/>
        </w:rPr>
      </w:pPr>
      <w:r>
        <w:rPr>
          <w:rFonts w:hint="eastAsia" w:ascii="黑体" w:hAnsi="黑体" w:eastAsia="黑体"/>
          <w:bCs/>
          <w:sz w:val="32"/>
          <w:szCs w:val="32"/>
        </w:rPr>
        <w:t>一、适用范围</w:t>
      </w:r>
    </w:p>
    <w:p>
      <w:pPr>
        <w:adjustRightInd w:val="0"/>
        <w:spacing w:line="560" w:lineRule="exact"/>
        <w:ind w:firstLine="640" w:firstLineChars="200"/>
        <w:textAlignment w:val="baseline"/>
        <w:rPr>
          <w:rFonts w:ascii="仿宋_GB2312" w:eastAsia="仿宋_GB2312"/>
          <w:sz w:val="32"/>
          <w:szCs w:val="32"/>
        </w:rPr>
      </w:pPr>
      <w:bookmarkStart w:id="3" w:name="OLE_LINK40"/>
      <w:bookmarkStart w:id="4" w:name="OLE_LINK39"/>
      <w:r>
        <w:rPr>
          <w:rFonts w:hint="eastAsia" w:ascii="仿宋_GB2312" w:eastAsia="仿宋_GB2312"/>
          <w:sz w:val="32"/>
          <w:szCs w:val="32"/>
        </w:rPr>
        <w:t>本市行政区域内建设项目的用地预审与选址意见书、规划条件管理工作，适用本规定。</w:t>
      </w:r>
    </w:p>
    <w:bookmarkEnd w:id="3"/>
    <w:bookmarkEnd w:id="4"/>
    <w:p>
      <w:pPr>
        <w:keepNext/>
        <w:keepLines/>
        <w:spacing w:line="560" w:lineRule="exact"/>
        <w:ind w:firstLine="640" w:firstLineChars="200"/>
        <w:jc w:val="left"/>
        <w:outlineLvl w:val="2"/>
        <w:rPr>
          <w:rFonts w:ascii="黑体" w:hAnsi="黑体" w:eastAsia="黑体"/>
          <w:bCs/>
          <w:sz w:val="32"/>
          <w:szCs w:val="32"/>
        </w:rPr>
      </w:pPr>
      <w:r>
        <w:rPr>
          <w:rFonts w:hint="eastAsia" w:ascii="黑体" w:hAnsi="黑体" w:eastAsia="黑体"/>
          <w:bCs/>
          <w:sz w:val="32"/>
          <w:szCs w:val="32"/>
        </w:rPr>
        <w:t>二、办理权限</w:t>
      </w:r>
    </w:p>
    <w:p>
      <w:pPr>
        <w:keepNext/>
        <w:keepLines/>
        <w:spacing w:line="560" w:lineRule="exact"/>
        <w:ind w:firstLine="640" w:firstLineChars="200"/>
        <w:outlineLvl w:val="3"/>
        <w:rPr>
          <w:rFonts w:ascii="楷体" w:hAnsi="楷体" w:eastAsia="楷体"/>
          <w:bCs/>
          <w:sz w:val="32"/>
          <w:szCs w:val="28"/>
        </w:rPr>
      </w:pPr>
      <w:r>
        <w:rPr>
          <w:rFonts w:hint="eastAsia" w:ascii="楷体" w:hAnsi="楷体" w:eastAsia="楷体"/>
          <w:bCs/>
          <w:sz w:val="32"/>
          <w:szCs w:val="28"/>
        </w:rPr>
        <w:t>（一）建设项目用地预审与选址意见书管理（城镇开发边界外，两者同时办理）</w:t>
      </w:r>
    </w:p>
    <w:p>
      <w:pPr>
        <w:adjustRightInd w:val="0"/>
        <w:spacing w:line="560" w:lineRule="exact"/>
        <w:ind w:firstLine="640" w:firstLineChars="200"/>
        <w:textAlignment w:val="baseline"/>
        <w:rPr>
          <w:rFonts w:eastAsia="仿宋_GB2312"/>
          <w:sz w:val="32"/>
          <w:szCs w:val="32"/>
        </w:rPr>
      </w:pPr>
      <w:bookmarkStart w:id="5" w:name="OLE_LINK41"/>
      <w:bookmarkStart w:id="6" w:name="OLE_LINK42"/>
      <w:r>
        <w:rPr>
          <w:rFonts w:hint="eastAsia" w:eastAsia="仿宋_GB2312"/>
          <w:sz w:val="32"/>
          <w:szCs w:val="32"/>
        </w:rPr>
        <w:t>建设项目用地预审与选址意见书按照建设项目审批权限实行分级管理。</w:t>
      </w:r>
    </w:p>
    <w:bookmarkEnd w:id="5"/>
    <w:bookmarkEnd w:id="6"/>
    <w:p>
      <w:pPr>
        <w:keepNext/>
        <w:keepLines/>
        <w:adjustRightInd w:val="0"/>
        <w:spacing w:line="560" w:lineRule="atLeast"/>
        <w:ind w:firstLine="640" w:firstLineChars="200"/>
        <w:textAlignment w:val="baseline"/>
        <w:outlineLvl w:val="4"/>
        <w:rPr>
          <w:rFonts w:ascii="楷体" w:hAnsi="楷体" w:eastAsia="楷体"/>
          <w:bCs/>
          <w:sz w:val="32"/>
          <w:szCs w:val="28"/>
        </w:rPr>
      </w:pPr>
      <w:bookmarkStart w:id="7" w:name="OLE_LINK23"/>
      <w:r>
        <w:rPr>
          <w:rFonts w:hint="eastAsia" w:ascii="楷体" w:hAnsi="楷体" w:eastAsia="楷体"/>
          <w:bCs/>
          <w:sz w:val="32"/>
          <w:szCs w:val="28"/>
        </w:rPr>
        <w:t>1</w:t>
      </w:r>
      <w:r>
        <w:rPr>
          <w:rFonts w:ascii="楷体" w:hAnsi="楷体" w:eastAsia="楷体"/>
          <w:bCs/>
          <w:sz w:val="32"/>
          <w:szCs w:val="28"/>
        </w:rPr>
        <w:t>.</w:t>
      </w:r>
      <w:r>
        <w:rPr>
          <w:rFonts w:hint="eastAsia" w:ascii="楷体" w:hAnsi="楷体" w:eastAsia="楷体"/>
          <w:bCs/>
          <w:sz w:val="32"/>
          <w:szCs w:val="28"/>
        </w:rPr>
        <w:t>涉及占用永久基本农田、生态保护红线的建设项目</w:t>
      </w:r>
    </w:p>
    <w:bookmarkEnd w:id="7"/>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（1）土地预审涉及占用永久基本农田、或允许有限人为活动之外的国家重大建设项目确需占用生态保护红线的建设项目</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由自然资源部进行用地预审，经</w:t>
      </w:r>
      <w:r>
        <w:rPr>
          <w:rFonts w:hint="eastAsia" w:eastAsia="仿宋_GB2312"/>
          <w:sz w:val="32"/>
          <w:szCs w:val="32"/>
        </w:rPr>
        <w:t>区（市）自然资源局（已委托权限的功能区）或市自然资源和规划局派出分局</w:t>
      </w:r>
      <w:r>
        <w:rPr>
          <w:rFonts w:hint="eastAsia" w:ascii="仿宋_GB2312" w:eastAsia="仿宋_GB2312"/>
          <w:sz w:val="32"/>
          <w:szCs w:val="32"/>
        </w:rPr>
        <w:t>、市自然资源和规划局初审后逐级上报省自然资源厅、自然资源部。项目通过预审后，由有相应权限的部门核发《建设项目用地预审与选址意见书》。</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（2）土地预审涉及生态保护红线内对生态功能不造成破坏的有限人为活动的建设项目</w:t>
      </w:r>
    </w:p>
    <w:p>
      <w:pPr>
        <w:adjustRightInd w:val="0"/>
        <w:spacing w:line="560" w:lineRule="exact"/>
        <w:ind w:firstLine="640" w:firstLineChars="200"/>
        <w:textAlignment w:val="baseline"/>
        <w:rPr>
          <w:rFonts w:eastAsia="仿宋_GB2312"/>
          <w:sz w:val="32"/>
          <w:szCs w:val="32"/>
        </w:rPr>
      </w:pPr>
      <w:r>
        <w:rPr>
          <w:rFonts w:hint="eastAsia" w:eastAsia="仿宋_GB2312"/>
          <w:sz w:val="32"/>
          <w:szCs w:val="32"/>
        </w:rPr>
        <w:t>由省自然资源厅进行用地预审</w:t>
      </w:r>
      <w:bookmarkStart w:id="8" w:name="OLE_LINK48"/>
      <w:r>
        <w:rPr>
          <w:rFonts w:hint="eastAsia" w:eastAsia="仿宋_GB2312"/>
          <w:sz w:val="32"/>
          <w:szCs w:val="32"/>
        </w:rPr>
        <w:t>，经区（市）自然资源局（已委托权限的功能区）或市自然资源和规划局派出分局、市自然资源和规划局初审后逐级上报省自然资源厅。</w:t>
      </w:r>
      <w:bookmarkEnd w:id="8"/>
      <w:r>
        <w:rPr>
          <w:rFonts w:hint="eastAsia" w:eastAsia="仿宋_GB2312"/>
          <w:sz w:val="32"/>
          <w:szCs w:val="32"/>
        </w:rPr>
        <w:t>项目通过预审后，由有相应权限的部门核发《建设项目用地预审与选址意见书》。</w:t>
      </w:r>
    </w:p>
    <w:p>
      <w:pPr>
        <w:keepNext/>
        <w:keepLines/>
        <w:adjustRightInd w:val="0"/>
        <w:spacing w:line="560" w:lineRule="atLeast"/>
        <w:ind w:firstLine="640" w:firstLineChars="200"/>
        <w:textAlignment w:val="baseline"/>
        <w:outlineLvl w:val="4"/>
        <w:rPr>
          <w:rFonts w:ascii="楷体" w:hAnsi="楷体" w:eastAsia="楷体"/>
          <w:bCs/>
          <w:sz w:val="32"/>
          <w:szCs w:val="28"/>
        </w:rPr>
      </w:pPr>
      <w:bookmarkStart w:id="9" w:name="OLE_LINK67"/>
      <w:bookmarkStart w:id="10" w:name="OLE_LINK68"/>
      <w:r>
        <w:rPr>
          <w:rFonts w:ascii="楷体" w:hAnsi="楷体" w:eastAsia="楷体"/>
          <w:bCs/>
          <w:sz w:val="32"/>
          <w:szCs w:val="28"/>
        </w:rPr>
        <w:t>2.</w:t>
      </w:r>
      <w:r>
        <w:rPr>
          <w:rFonts w:hint="eastAsia" w:ascii="楷体" w:hAnsi="楷体" w:eastAsia="楷体"/>
          <w:bCs/>
          <w:sz w:val="32"/>
          <w:szCs w:val="28"/>
        </w:rPr>
        <w:t>不涉及占用永久基本农田、生态保护红线的建设项目</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（1）省级及以上立项的建设项目</w:t>
      </w:r>
    </w:p>
    <w:p>
      <w:pPr>
        <w:adjustRightInd w:val="0"/>
        <w:spacing w:line="560" w:lineRule="exact"/>
        <w:ind w:firstLine="640" w:firstLineChars="200"/>
        <w:textAlignment w:val="baseline"/>
        <w:rPr>
          <w:rFonts w:eastAsia="仿宋_GB2312"/>
          <w:sz w:val="32"/>
          <w:szCs w:val="32"/>
        </w:rPr>
      </w:pPr>
      <w:bookmarkStart w:id="11" w:name="OLE_LINK66"/>
      <w:r>
        <w:rPr>
          <w:rFonts w:hint="eastAsia" w:eastAsia="仿宋_GB2312"/>
          <w:sz w:val="32"/>
          <w:szCs w:val="32"/>
        </w:rPr>
        <w:t>由省自然资源厅进行用地预审，</w:t>
      </w:r>
      <w:bookmarkEnd w:id="11"/>
      <w:r>
        <w:rPr>
          <w:rFonts w:hint="eastAsia" w:eastAsia="仿宋_GB2312"/>
          <w:sz w:val="32"/>
          <w:szCs w:val="32"/>
        </w:rPr>
        <w:t>经区（市）自然资源局或市自然资源和规划局派出分局、市自然资源和规划局初审后逐级上报省自然资源厅。项目通过预审后，由有相应权限的部门核发《建设项目用地预审与选址意见书》。</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（2）</w:t>
      </w:r>
      <w:bookmarkStart w:id="12" w:name="OLE_LINK26"/>
      <w:bookmarkStart w:id="13" w:name="OLE_LINK32"/>
      <w:r>
        <w:rPr>
          <w:rFonts w:hint="eastAsia" w:ascii="楷体" w:hAnsi="楷体" w:eastAsia="楷体"/>
          <w:bCs/>
          <w:sz w:val="32"/>
          <w:szCs w:val="28"/>
        </w:rPr>
        <w:t>市级立项的建设项目</w:t>
      </w:r>
    </w:p>
    <w:bookmarkEnd w:id="12"/>
    <w:bookmarkEnd w:id="13"/>
    <w:p>
      <w:pPr>
        <w:adjustRightIn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跨区域的建设项目，用地预审和规划选址权限在市级的，由各</w:t>
      </w:r>
      <w:bookmarkStart w:id="14" w:name="OLE_LINK33"/>
      <w:bookmarkStart w:id="15" w:name="OLE_LINK43"/>
      <w:r>
        <w:rPr>
          <w:rFonts w:hint="eastAsia" w:ascii="仿宋_GB2312" w:eastAsia="仿宋_GB2312" w:cs="仿宋_GB2312"/>
          <w:sz w:val="32"/>
          <w:szCs w:val="32"/>
        </w:rPr>
        <w:t>区（市）自然资源局或市自然资源和规划局派出分局</w:t>
      </w:r>
      <w:bookmarkEnd w:id="14"/>
      <w:bookmarkEnd w:id="15"/>
      <w:r>
        <w:rPr>
          <w:rFonts w:hint="eastAsia" w:ascii="仿宋_GB2312" w:eastAsia="仿宋_GB2312" w:cs="仿宋_GB2312"/>
          <w:sz w:val="32"/>
          <w:szCs w:val="32"/>
        </w:rPr>
        <w:t>受理，提出用地预审和规划选址初审意见后报市自然资源和规划局。符合要求的，市自然资源和规划局核发《建设项目用地预审与选址意见书》。</w:t>
      </w:r>
    </w:p>
    <w:p>
      <w:pPr>
        <w:adjustRightIn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不跨区域的建设项目：</w:t>
      </w:r>
    </w:p>
    <w:p>
      <w:pPr>
        <w:adjustRightIn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1）市南区、市北区、李沧区、高新区：由市自然资源和规划局派出分局受理，审核通过后直接核发《建设项目用地预审与选址意见书》。</w:t>
      </w:r>
    </w:p>
    <w:p>
      <w:pPr>
        <w:adjustRightInd w:val="0"/>
        <w:spacing w:line="560" w:lineRule="exact"/>
        <w:ind w:firstLine="640" w:firstLineChars="200"/>
        <w:textAlignment w:val="baseline"/>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西海岸新区、自贸片区：由自然资源局受理，审核通过后直接核发《建设项目用地预审与选址意见书》。</w:t>
      </w:r>
    </w:p>
    <w:p>
      <w:pPr>
        <w:adjustRightInd w:val="0"/>
        <w:spacing w:line="560" w:lineRule="exact"/>
        <w:ind w:firstLine="640" w:firstLineChars="200"/>
        <w:textAlignment w:val="baseline"/>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）崂山区、城阳区、保税港区以及仅规划选址权限委托的功能区：由市自然资源和规划局派出分局</w:t>
      </w:r>
      <w:bookmarkStart w:id="16" w:name="OLE_LINK4"/>
      <w:r>
        <w:rPr>
          <w:rFonts w:hint="eastAsia" w:ascii="仿宋_GB2312" w:eastAsia="仿宋_GB2312" w:cs="仿宋_GB2312"/>
          <w:sz w:val="32"/>
          <w:szCs w:val="32"/>
        </w:rPr>
        <w:t>（已委托权限的功能区规划主管部门）</w:t>
      </w:r>
      <w:bookmarkEnd w:id="16"/>
      <w:r>
        <w:rPr>
          <w:rFonts w:hint="eastAsia" w:ascii="仿宋_GB2312" w:eastAsia="仿宋_GB2312" w:cs="仿宋_GB2312"/>
          <w:sz w:val="32"/>
          <w:szCs w:val="32"/>
        </w:rPr>
        <w:t>受理，同步推送给自然资源局，待用地预审审查同意后，市自然资源和规划局派出分局（已委托权限的功能区规划主管部门）将用地预审意见的内容作为附件，核发《建设项目用地预审与选址意见书》。</w:t>
      </w:r>
    </w:p>
    <w:p>
      <w:pPr>
        <w:adjustRightInd w:val="0"/>
        <w:spacing w:line="560" w:lineRule="exact"/>
        <w:ind w:firstLine="640" w:firstLineChars="200"/>
        <w:textAlignment w:val="baseline"/>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即墨区：由市自然资源和规划局派出分局受理，</w:t>
      </w:r>
      <w:bookmarkStart w:id="17" w:name="OLE_LINK29"/>
      <w:bookmarkStart w:id="18" w:name="OLE_LINK28"/>
      <w:r>
        <w:rPr>
          <w:rFonts w:hint="eastAsia" w:ascii="仿宋_GB2312" w:eastAsia="仿宋_GB2312" w:cs="仿宋_GB2312"/>
          <w:sz w:val="32"/>
          <w:szCs w:val="32"/>
        </w:rPr>
        <w:t>同步推送给自然资源局，自然资源局提出用地预审的初审意见后报市自然资源和规划局，待用地预审审查同意后，暂由市自然资源和规划局派出分局将用地预审意见的内容作为附件，核发《建设项目用地预审与选址意见书》。</w:t>
      </w:r>
      <w:bookmarkEnd w:id="17"/>
      <w:bookmarkEnd w:id="18"/>
    </w:p>
    <w:p>
      <w:pPr>
        <w:adjustRightInd w:val="0"/>
        <w:spacing w:line="560" w:lineRule="exact"/>
        <w:ind w:firstLine="640" w:firstLineChars="200"/>
        <w:textAlignment w:val="baseline"/>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）胶州市、平度市、莱西市：由自然资源局受理，提出用地预审的初审意见后报市自然资源和规划局，待用地预审审查同意后，市自然资源和规划局核发《建设项目用地预审与选址意见书》。</w:t>
      </w:r>
    </w:p>
    <w:bookmarkEnd w:id="9"/>
    <w:bookmarkEnd w:id="10"/>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（3）区级立项的建设项目</w:t>
      </w:r>
    </w:p>
    <w:p>
      <w:pPr>
        <w:adjustRightInd w:val="0"/>
        <w:spacing w:line="560" w:lineRule="exact"/>
        <w:ind w:left="105" w:leftChars="50"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市南区、市北区、李沧区、新海岸新区、高新区、自贸片区、胶州市、平度市、莱西市：由自然资源局或市自然资源和规划局派出分局审核通过后直接核发《建设项目用地预审与选址意见书》。</w:t>
      </w:r>
    </w:p>
    <w:p>
      <w:pPr>
        <w:adjustRightInd w:val="0"/>
        <w:spacing w:line="560" w:lineRule="exact"/>
        <w:ind w:left="105" w:leftChars="50"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城阳区、崂山区、即墨区、保税港区：由市自然资源和规划局派出分局受理，同步推送给</w:t>
      </w:r>
      <w:bookmarkStart w:id="19" w:name="OLE_LINK30"/>
      <w:r>
        <w:rPr>
          <w:rFonts w:hint="eastAsia" w:ascii="仿宋_GB2312" w:eastAsia="仿宋_GB2312" w:cs="仿宋_GB2312"/>
          <w:sz w:val="32"/>
          <w:szCs w:val="32"/>
        </w:rPr>
        <w:t>自然资源局</w:t>
      </w:r>
      <w:bookmarkEnd w:id="19"/>
      <w:r>
        <w:rPr>
          <w:rFonts w:hint="eastAsia" w:ascii="仿宋_GB2312" w:eastAsia="仿宋_GB2312" w:cs="仿宋_GB2312"/>
          <w:sz w:val="32"/>
          <w:szCs w:val="32"/>
        </w:rPr>
        <w:t>，自然资源局出具用地预审意见后，市自然资源和规划局派出分局将用地预审意见的内容作为附件，核发《建设项目用地预审与选址意见书》。</w:t>
      </w:r>
    </w:p>
    <w:p>
      <w:pPr>
        <w:keepNext/>
        <w:keepLines/>
        <w:spacing w:line="560" w:lineRule="exact"/>
        <w:ind w:firstLine="640" w:firstLineChars="200"/>
        <w:outlineLvl w:val="3"/>
        <w:rPr>
          <w:rFonts w:ascii="楷体" w:hAnsi="楷体" w:eastAsia="楷体"/>
          <w:bCs/>
          <w:sz w:val="32"/>
          <w:szCs w:val="28"/>
        </w:rPr>
      </w:pPr>
      <w:r>
        <w:rPr>
          <w:rFonts w:hint="eastAsia" w:ascii="楷体" w:hAnsi="楷体" w:eastAsia="楷体"/>
          <w:bCs/>
          <w:sz w:val="32"/>
          <w:szCs w:val="28"/>
        </w:rPr>
        <w:t>（二）选址意见书（城镇开发边界内，单独办理）、规划条件管理</w:t>
      </w:r>
    </w:p>
    <w:p>
      <w:pPr>
        <w:adjustRightInd w:val="0"/>
        <w:spacing w:line="560" w:lineRule="exact"/>
        <w:ind w:left="105" w:leftChars="50"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选址意见书按照项目立项层级，由有相应权限的部门核发。</w:t>
      </w:r>
    </w:p>
    <w:p>
      <w:pPr>
        <w:adjustRightInd w:val="0"/>
        <w:spacing w:line="560" w:lineRule="exact"/>
        <w:ind w:left="105" w:leftChars="50"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规划条件由市、区（市）自然资源和规划主管部门（各功能区规划主管部门）负责提出。</w:t>
      </w:r>
    </w:p>
    <w:p>
      <w:pPr>
        <w:keepNext/>
        <w:keepLines/>
        <w:spacing w:line="560" w:lineRule="exact"/>
        <w:ind w:firstLine="640" w:firstLineChars="200"/>
        <w:jc w:val="left"/>
        <w:outlineLvl w:val="2"/>
        <w:rPr>
          <w:rFonts w:ascii="黑体" w:hAnsi="黑体" w:eastAsia="黑体"/>
          <w:bCs/>
          <w:sz w:val="32"/>
          <w:szCs w:val="32"/>
        </w:rPr>
      </w:pPr>
      <w:r>
        <w:rPr>
          <w:rFonts w:hint="eastAsia" w:ascii="黑体" w:hAnsi="黑体" w:eastAsia="黑体"/>
          <w:bCs/>
          <w:sz w:val="32"/>
          <w:szCs w:val="32"/>
        </w:rPr>
        <w:t>三、办理情形</w:t>
      </w:r>
    </w:p>
    <w:p>
      <w:pPr>
        <w:keepNext/>
        <w:keepLines/>
        <w:spacing w:line="560" w:lineRule="exact"/>
        <w:ind w:firstLine="640" w:firstLineChars="200"/>
        <w:outlineLvl w:val="3"/>
        <w:rPr>
          <w:rFonts w:ascii="楷体" w:hAnsi="楷体" w:eastAsia="楷体"/>
          <w:bCs/>
          <w:sz w:val="32"/>
          <w:szCs w:val="28"/>
        </w:rPr>
      </w:pPr>
      <w:r>
        <w:rPr>
          <w:rFonts w:hint="eastAsia" w:ascii="楷体" w:hAnsi="楷体" w:eastAsia="楷体"/>
          <w:bCs/>
          <w:sz w:val="32"/>
          <w:szCs w:val="28"/>
        </w:rPr>
        <w:t>（一）用地预审</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建设项目确需占用国土空间规划确定的城镇开发边界外的农用地，在建设项目批准、核准前或者备案前后，由规定层级的自然资源和规划主管部门对建设项目用地事项进行审查，提出建设项目用地预审意见。</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以下情形不需申请办理用地预审，直接申请办理农用地转用和土地征收：（1）国土空间规划确定的城市和村庄、集镇建设用地范围内的建设项目用地；（</w:t>
      </w:r>
      <w:r>
        <w:rPr>
          <w:rFonts w:ascii="仿宋_GB2312" w:eastAsia="仿宋_GB2312"/>
          <w:sz w:val="32"/>
          <w:szCs w:val="32"/>
        </w:rPr>
        <w:t>2</w:t>
      </w:r>
      <w:r>
        <w:rPr>
          <w:rFonts w:hint="eastAsia" w:ascii="仿宋_GB2312" w:eastAsia="仿宋_GB2312"/>
          <w:sz w:val="32"/>
          <w:szCs w:val="32"/>
        </w:rPr>
        <w:t>）油气类“探采合一”和“探转采”钻井及其配套设施建设用地；（</w:t>
      </w:r>
      <w:r>
        <w:rPr>
          <w:rFonts w:ascii="仿宋_GB2312" w:eastAsia="仿宋_GB2312"/>
          <w:sz w:val="32"/>
          <w:szCs w:val="32"/>
        </w:rPr>
        <w:t>3</w:t>
      </w:r>
      <w:r>
        <w:rPr>
          <w:rFonts w:hint="eastAsia" w:ascii="仿宋_GB2312" w:eastAsia="仿宋_GB2312"/>
          <w:sz w:val="32"/>
          <w:szCs w:val="32"/>
        </w:rPr>
        <w:t>）具备直接出让采矿权条件、能够明确具体用地范围的采矿用地；（4）露天煤矿接续用地；（5）水利水电项目涉及的淹没区用地。</w:t>
      </w:r>
    </w:p>
    <w:p>
      <w:pPr>
        <w:keepNext/>
        <w:keepLines/>
        <w:spacing w:line="560" w:lineRule="exact"/>
        <w:ind w:firstLine="640" w:firstLineChars="200"/>
        <w:outlineLvl w:val="3"/>
        <w:rPr>
          <w:rFonts w:ascii="楷体" w:hAnsi="楷体" w:eastAsia="楷体"/>
          <w:bCs/>
          <w:sz w:val="32"/>
          <w:szCs w:val="28"/>
        </w:rPr>
      </w:pPr>
      <w:bookmarkStart w:id="20" w:name="OLE_LINK44"/>
      <w:r>
        <w:rPr>
          <w:rFonts w:hint="eastAsia" w:ascii="楷体" w:hAnsi="楷体" w:eastAsia="楷体"/>
          <w:bCs/>
          <w:sz w:val="32"/>
          <w:szCs w:val="28"/>
        </w:rPr>
        <w:t>（二）选址意见书</w:t>
      </w:r>
    </w:p>
    <w:bookmarkEnd w:id="20"/>
    <w:p>
      <w:pPr>
        <w:adjustRightInd w:val="0"/>
        <w:spacing w:line="560" w:lineRule="exact"/>
        <w:ind w:firstLine="640" w:firstLineChars="200"/>
        <w:textAlignment w:val="baseline"/>
        <w:rPr>
          <w:rFonts w:ascii="仿宋_GB2312" w:eastAsia="仿宋_GB2312"/>
          <w:bCs/>
          <w:sz w:val="32"/>
          <w:szCs w:val="32"/>
        </w:rPr>
      </w:pPr>
      <w:bookmarkStart w:id="21" w:name="OLE_LINK7"/>
      <w:bookmarkStart w:id="22" w:name="OLE_LINK8"/>
      <w:r>
        <w:rPr>
          <w:rFonts w:hint="eastAsia" w:ascii="仿宋_GB2312" w:eastAsia="仿宋_GB2312"/>
          <w:bCs/>
          <w:sz w:val="32"/>
          <w:szCs w:val="32"/>
        </w:rPr>
        <w:t>按照国家规定需要政府或</w:t>
      </w:r>
      <w:bookmarkStart w:id="23" w:name="OLE_LINK74"/>
      <w:bookmarkStart w:id="24" w:name="OLE_LINK73"/>
      <w:r>
        <w:rPr>
          <w:rFonts w:hint="eastAsia" w:ascii="仿宋_GB2312" w:eastAsia="仿宋_GB2312"/>
          <w:bCs/>
          <w:sz w:val="32"/>
          <w:szCs w:val="32"/>
        </w:rPr>
        <w:t>有关部门</w:t>
      </w:r>
      <w:bookmarkStart w:id="25" w:name="OLE_LINK75"/>
      <w:r>
        <w:rPr>
          <w:rFonts w:hint="eastAsia" w:ascii="仿宋_GB2312" w:eastAsia="仿宋_GB2312"/>
          <w:bCs/>
          <w:sz w:val="32"/>
          <w:szCs w:val="32"/>
        </w:rPr>
        <w:t>批准</w:t>
      </w:r>
      <w:bookmarkEnd w:id="25"/>
      <w:r>
        <w:rPr>
          <w:rFonts w:hint="eastAsia" w:ascii="仿宋_GB2312" w:eastAsia="仿宋_GB2312"/>
          <w:bCs/>
          <w:sz w:val="32"/>
          <w:szCs w:val="32"/>
        </w:rPr>
        <w:t>、核准</w:t>
      </w:r>
      <w:bookmarkEnd w:id="23"/>
      <w:bookmarkEnd w:id="24"/>
      <w:r>
        <w:rPr>
          <w:rFonts w:hint="eastAsia" w:ascii="仿宋_GB2312" w:eastAsia="仿宋_GB2312"/>
          <w:bCs/>
          <w:sz w:val="32"/>
          <w:szCs w:val="32"/>
        </w:rPr>
        <w:t>，以划拨方式提供国有建设用地使用权的建设项目需要办理选址意见书。其中，以批准方式立项的项目，立项后办理选址意见书；核准的项目，先取得项目代码，再办理选址意见书。</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采取除划拨方式之外的方式获得国有土地使用权的建设项目不需办理选址意见书。</w:t>
      </w:r>
    </w:p>
    <w:bookmarkEnd w:id="21"/>
    <w:bookmarkEnd w:id="22"/>
    <w:p>
      <w:pPr>
        <w:keepNext/>
        <w:keepLines/>
        <w:spacing w:line="560" w:lineRule="exact"/>
        <w:ind w:firstLine="640" w:firstLineChars="200"/>
        <w:outlineLvl w:val="3"/>
        <w:rPr>
          <w:rFonts w:ascii="楷体" w:hAnsi="楷体" w:eastAsia="楷体"/>
          <w:bCs/>
          <w:sz w:val="32"/>
          <w:szCs w:val="28"/>
        </w:rPr>
      </w:pPr>
      <w:r>
        <w:rPr>
          <w:rFonts w:hint="eastAsia" w:ascii="楷体" w:hAnsi="楷体" w:eastAsia="楷体"/>
          <w:bCs/>
          <w:sz w:val="32"/>
          <w:szCs w:val="28"/>
        </w:rPr>
        <w:t>（三）规划条件</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bCs/>
          <w:sz w:val="32"/>
          <w:szCs w:val="32"/>
        </w:rPr>
        <w:t>通过出让方式提供国有土地使用权的，在国有土地使用权出让前</w:t>
      </w:r>
      <w:r>
        <w:rPr>
          <w:rFonts w:hint="eastAsia" w:ascii="仿宋_GB2312" w:eastAsia="仿宋_GB2312"/>
          <w:sz w:val="32"/>
          <w:szCs w:val="32"/>
        </w:rPr>
        <w:t>，自然资源和规划主管部门依据控制性详细规划，提出地块的规划条件，作为国有土地使用权出让合同的组成部分。</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已经取得国有土地使用权的，再次进行改建、扩建、新建的，按相关规定申请办理规划条件。</w:t>
      </w:r>
    </w:p>
    <w:p>
      <w:pPr>
        <w:keepNext/>
        <w:keepLines/>
        <w:spacing w:line="560" w:lineRule="exact"/>
        <w:ind w:firstLine="640" w:firstLineChars="200"/>
        <w:jc w:val="left"/>
        <w:outlineLvl w:val="2"/>
        <w:rPr>
          <w:rFonts w:ascii="黑体" w:hAnsi="黑体" w:eastAsia="黑体"/>
          <w:bCs/>
          <w:sz w:val="32"/>
          <w:szCs w:val="32"/>
        </w:rPr>
      </w:pPr>
      <w:r>
        <w:rPr>
          <w:rFonts w:hint="eastAsia" w:ascii="黑体" w:hAnsi="黑体" w:eastAsia="黑体"/>
          <w:bCs/>
          <w:sz w:val="32"/>
          <w:szCs w:val="32"/>
        </w:rPr>
        <w:t>四、工作要点</w:t>
      </w:r>
    </w:p>
    <w:p>
      <w:pPr>
        <w:keepNext/>
        <w:keepLines/>
        <w:spacing w:line="560" w:lineRule="exact"/>
        <w:ind w:firstLine="640" w:firstLineChars="200"/>
        <w:outlineLvl w:val="3"/>
        <w:rPr>
          <w:rFonts w:ascii="楷体" w:hAnsi="楷体" w:eastAsia="楷体"/>
          <w:bCs/>
          <w:sz w:val="32"/>
          <w:szCs w:val="28"/>
        </w:rPr>
      </w:pPr>
      <w:r>
        <w:rPr>
          <w:rFonts w:hint="eastAsia" w:ascii="楷体" w:hAnsi="楷体" w:eastAsia="楷体"/>
          <w:bCs/>
          <w:sz w:val="32"/>
          <w:szCs w:val="28"/>
        </w:rPr>
        <w:t>（一）用地预审与选址意见书审查要点（城镇开发边界外，两者同时办理）</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1.项目基本情况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审查项目满足准入条件的规划建设依据、符合预审层级的立项机关、立项方式、建设类型、建设意义、建设位置等情况是否清晰准确描述</w:t>
      </w:r>
      <w:r>
        <w:rPr>
          <w:rFonts w:ascii="仿宋_GB2312" w:eastAsia="仿宋_GB2312"/>
          <w:sz w:val="32"/>
          <w:szCs w:val="32"/>
        </w:rPr>
        <w:t>；</w:t>
      </w:r>
      <w:r>
        <w:rPr>
          <w:rFonts w:hint="eastAsia" w:ascii="仿宋_GB2312" w:eastAsia="仿宋_GB2312"/>
          <w:sz w:val="32"/>
          <w:szCs w:val="32"/>
        </w:rPr>
        <w:t>涉及占用永久基本农田的，需明确表述符合国家有关政策要求，满足占用条件。</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2</w:t>
      </w:r>
      <w:r>
        <w:rPr>
          <w:rFonts w:ascii="楷体" w:hAnsi="楷体" w:eastAsia="楷体"/>
          <w:bCs/>
          <w:sz w:val="32"/>
          <w:szCs w:val="28"/>
        </w:rPr>
        <w:t>.</w:t>
      </w:r>
      <w:r>
        <w:rPr>
          <w:rFonts w:hint="eastAsia" w:ascii="楷体" w:hAnsi="楷体" w:eastAsia="楷体"/>
          <w:bCs/>
          <w:sz w:val="32"/>
          <w:szCs w:val="28"/>
        </w:rPr>
        <w:t>项目用地情况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审查项目拟申请用地类型、面积（采用最新的年度变更调查数据，按自然资源部图形面积进行申报）、拟申请用地边界拐点坐标等是否准确。</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审查项目拟用地包含权属明晰的原有国有建设用地、既有河流水面用地、永久基本农田用地等情况是否明确表述。</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项目用地涉及不同区（市）的需分别详细表述具体用地情况。</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3.项目选址情况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符合法定国土空间规划情况是否明确表述；没有或不符合规划的，应对需要开展的规划选址论证、耕地踏勘论证、永久基本农田占用论证、生态保护红线不可避让性论证、节地评价论证等事项实施综合论证，并取得“多评合一”专家论证意见或相应专家论证意见。组织编制节约集约用地专章的建设项目，专章深度达到相应专业技术报告要求的，不再单独编制相关技术报告。</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审查项目区位、走向等选址情况是否详细表述，需具备项目区位图、方案示意图等显示项目选址走向的图件。</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4</w:t>
      </w:r>
      <w:r>
        <w:rPr>
          <w:rFonts w:ascii="楷体" w:hAnsi="楷体" w:eastAsia="楷体"/>
          <w:bCs/>
          <w:sz w:val="32"/>
          <w:szCs w:val="28"/>
        </w:rPr>
        <w:t>.</w:t>
      </w:r>
      <w:r>
        <w:rPr>
          <w:rFonts w:hint="eastAsia" w:ascii="楷体" w:hAnsi="楷体" w:eastAsia="楷体"/>
          <w:bCs/>
          <w:sz w:val="32"/>
          <w:szCs w:val="28"/>
        </w:rPr>
        <w:t>项目符合国土空间规划管控规则情况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符合国土空间规划管控规则情况是否明确表述，涉及规划土地用途调整的，不再提交土地用途调整方案，重点审查应符合允许调整的情形；相关区（市）需明确表述将在项目用地报批前，完成编制土地用途调整方案、土地用途调整听证、对规划实施影响评估和专家论证等工作；国土空间规划批复前，需具有区（市）政府出具的将项目用地布局及规模（含空间矢量信息）统筹纳入正在编制的规划期至</w:t>
      </w:r>
      <w:r>
        <w:rPr>
          <w:rFonts w:ascii="仿宋_GB2312" w:eastAsia="仿宋_GB2312"/>
          <w:sz w:val="32"/>
          <w:szCs w:val="32"/>
        </w:rPr>
        <w:t>2035</w:t>
      </w:r>
      <w:r>
        <w:rPr>
          <w:rFonts w:hint="eastAsia" w:ascii="仿宋_GB2312" w:eastAsia="仿宋_GB2312"/>
          <w:sz w:val="32"/>
          <w:szCs w:val="32"/>
        </w:rPr>
        <w:t>年的国土空间规划及“一张图”的承诺；涉及占用禁止建设区的，具有区（市）政府出具同意占用的意见。</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审查项目是否具备明确表示项目位置、用地类型及规模的国土空间规划相关图件。</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审查项目涉及生态保护红线情况。涉及生态保护红线的，满足占用条件需明确表述（属于有限人为活动或者国家重大项目占用）。</w:t>
      </w:r>
    </w:p>
    <w:p>
      <w:pPr>
        <w:keepNext/>
        <w:keepLines/>
        <w:adjustRightInd w:val="0"/>
        <w:spacing w:line="560" w:lineRule="atLeast"/>
        <w:ind w:firstLine="640" w:firstLineChars="200"/>
        <w:textAlignment w:val="baseline"/>
        <w:outlineLvl w:val="4"/>
        <w:rPr>
          <w:rFonts w:ascii="楷体" w:hAnsi="楷体" w:eastAsia="楷体"/>
          <w:bCs/>
          <w:sz w:val="32"/>
          <w:szCs w:val="28"/>
        </w:rPr>
      </w:pPr>
      <w:bookmarkStart w:id="26" w:name="OLE_LINK55"/>
      <w:r>
        <w:rPr>
          <w:rFonts w:hint="eastAsia" w:ascii="楷体" w:hAnsi="楷体" w:eastAsia="楷体"/>
          <w:bCs/>
          <w:sz w:val="32"/>
          <w:szCs w:val="28"/>
        </w:rPr>
        <w:t>5</w:t>
      </w:r>
      <w:r>
        <w:rPr>
          <w:rFonts w:ascii="楷体" w:hAnsi="楷体" w:eastAsia="楷体"/>
          <w:bCs/>
          <w:sz w:val="32"/>
          <w:szCs w:val="28"/>
        </w:rPr>
        <w:t>.</w:t>
      </w:r>
      <w:r>
        <w:rPr>
          <w:rFonts w:hint="eastAsia" w:ascii="楷体" w:hAnsi="楷体" w:eastAsia="楷体"/>
          <w:bCs/>
          <w:sz w:val="32"/>
          <w:szCs w:val="28"/>
        </w:rPr>
        <w:t>项目占用耕地和永久基本农田情况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审查项目占用耕地、永久基本农田的理由是否充分说明，通过方案比选、采取相关工程技术措施减少耕地、永久基本农田占用等情况需明确表述。</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占用耕地情况是否明确表述，所在区域补充耕地储备库指标应充足；储备指标不足的区（市）自然资源和规划主管部门应明确补充耕地落实方式，并且需要区（市）自然资源和规划主管部门在农用地转用报批时落实占补平衡要求的承诺。</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审查项目踏勘论证情况是否明确表述，涉及占用永久基本农田的及占用耕地规模较大的（包括线性工程占用耕地</w:t>
      </w:r>
      <w:r>
        <w:rPr>
          <w:rFonts w:ascii="仿宋_GB2312" w:eastAsia="仿宋_GB2312"/>
          <w:sz w:val="32"/>
          <w:szCs w:val="32"/>
        </w:rPr>
        <w:t>100</w:t>
      </w:r>
      <w:r>
        <w:rPr>
          <w:rFonts w:hint="eastAsia" w:ascii="仿宋_GB2312" w:eastAsia="仿宋_GB2312"/>
          <w:sz w:val="32"/>
          <w:szCs w:val="32"/>
        </w:rPr>
        <w:t>公顷以上、块状工程</w:t>
      </w:r>
      <w:r>
        <w:rPr>
          <w:rFonts w:ascii="仿宋_GB2312" w:eastAsia="仿宋_GB2312"/>
          <w:sz w:val="32"/>
          <w:szCs w:val="32"/>
        </w:rPr>
        <w:t>70</w:t>
      </w:r>
      <w:r>
        <w:rPr>
          <w:rFonts w:hint="eastAsia" w:ascii="仿宋_GB2312" w:eastAsia="仿宋_GB2312"/>
          <w:sz w:val="32"/>
          <w:szCs w:val="32"/>
        </w:rPr>
        <w:t>公顷以上或占用耕地达到用地总面积</w:t>
      </w:r>
      <w:r>
        <w:rPr>
          <w:rFonts w:ascii="仿宋_GB2312" w:eastAsia="仿宋_GB2312"/>
          <w:sz w:val="32"/>
          <w:szCs w:val="32"/>
        </w:rPr>
        <w:t>50%</w:t>
      </w:r>
      <w:r>
        <w:rPr>
          <w:rFonts w:hint="eastAsia" w:ascii="仿宋_GB2312" w:eastAsia="仿宋_GB2312"/>
          <w:sz w:val="32"/>
          <w:szCs w:val="32"/>
        </w:rPr>
        <w:t>以上的，不包括水库类项目），需提供市自然资源和规划局组织的踏勘论证意见。</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确实无法避让永久基本农田的，需按要求补划永久基本农田，并且满足补划面积清晰准确（按照自然资源部净面积进行申报）、补划地类准确（按照国土三调及年度土地变更调查中现状耕地补充）、补划数量不减少、补划质量不降低的要求；按需要编制永久基本农田补划方案，充分论证占用永久基本农田的必要性、合理性；补划永久基本农田数量要进行县域小计。</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项目各功能分区占用永久基本农田情况要明确表述，若涉及点状、块状工程或沿线设施占用永久基本农田的，简要说明无法避让理由及占用规模的合理性。</w:t>
      </w:r>
    </w:p>
    <w:bookmarkEnd w:id="26"/>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6</w:t>
      </w:r>
      <w:r>
        <w:rPr>
          <w:rFonts w:ascii="楷体" w:hAnsi="楷体" w:eastAsia="楷体"/>
          <w:bCs/>
          <w:sz w:val="32"/>
          <w:szCs w:val="28"/>
        </w:rPr>
        <w:t>.</w:t>
      </w:r>
      <w:r>
        <w:rPr>
          <w:rFonts w:hint="eastAsia" w:ascii="楷体" w:hAnsi="楷体" w:eastAsia="楷体"/>
          <w:bCs/>
          <w:sz w:val="32"/>
          <w:szCs w:val="28"/>
        </w:rPr>
        <w:t>项目符合土地使用标准情况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依据国家产业政策目录和《限制用地项目目录》《禁止用地项目目录》等规定，确定项目类型以及应符合国家产业政策和供地政策情况。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审查项目建设内容及适用的土地使用标准情况是否明确表述。项目功能分区依据需充分合理，各功能区设置应充分体现项目所在区域的地形地貌特征，不存在不合理的功能分区及搭车用地。</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项目各功能分区建设内容及用地规模（包含总用地、原有用地、新申请用地情况以及占用永久基本农田情况）、占总用地比例情况需明确表述。</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项目总用地及各功能分区实际用地指标测算依据、计算过程、计算结果、指标对比情况需详细表述。项目总用地及各功能分区用地符合土地使用标准，满足集约节约用地要求情况需详细表述。</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对未颁布土地使用标准的项目或超标准用地的项目（包括项目部分功能分区），按照规定需开展节地评价的，按照《自然资源部办公厅关于规范开展建设项目节地评价工作的通知》（自然资办发〔</w:t>
      </w:r>
      <w:r>
        <w:rPr>
          <w:rFonts w:ascii="仿宋_GB2312" w:eastAsia="仿宋_GB2312"/>
          <w:sz w:val="32"/>
          <w:szCs w:val="32"/>
        </w:rPr>
        <w:t>2021</w:t>
      </w:r>
      <w:r>
        <w:rPr>
          <w:rFonts w:hint="eastAsia" w:ascii="仿宋_GB2312" w:eastAsia="仿宋_GB2312"/>
          <w:sz w:val="32"/>
          <w:szCs w:val="32"/>
        </w:rPr>
        <w:t>〕</w:t>
      </w:r>
      <w:r>
        <w:rPr>
          <w:rFonts w:ascii="仿宋_GB2312" w:eastAsia="仿宋_GB2312"/>
          <w:sz w:val="32"/>
          <w:szCs w:val="32"/>
        </w:rPr>
        <w:t>14</w:t>
      </w:r>
      <w:r>
        <w:rPr>
          <w:rFonts w:hint="eastAsia" w:ascii="仿宋_GB2312" w:eastAsia="仿宋_GB2312"/>
          <w:sz w:val="32"/>
          <w:szCs w:val="32"/>
        </w:rPr>
        <w:t>号）的相关规定，从“八个是否”方面分析项目是否满足集约节约用地要求；对未颁布土地使用标准的项目，规定无需开展节地评价的要明确表述。</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7</w:t>
      </w:r>
      <w:r>
        <w:rPr>
          <w:rFonts w:ascii="楷体" w:hAnsi="楷体" w:eastAsia="楷体"/>
          <w:bCs/>
          <w:sz w:val="32"/>
          <w:szCs w:val="28"/>
        </w:rPr>
        <w:t>.</w:t>
      </w:r>
      <w:r>
        <w:rPr>
          <w:rFonts w:hint="eastAsia" w:ascii="楷体" w:hAnsi="楷体" w:eastAsia="楷体"/>
          <w:bCs/>
          <w:sz w:val="32"/>
          <w:szCs w:val="28"/>
        </w:rPr>
        <w:t>落实用地相关费用情况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审查项目已按规定将补充耕地、征地补偿、土地复垦等相关费用足额纳入项目工程概算等情况是否明确表述。</w:t>
      </w:r>
    </w:p>
    <w:p>
      <w:pPr>
        <w:adjustRightInd w:val="0"/>
        <w:spacing w:line="560" w:lineRule="exact"/>
        <w:ind w:firstLine="640" w:firstLineChars="200"/>
        <w:textAlignment w:val="baseline"/>
        <w:rPr>
          <w:rFonts w:eastAsia="楷体"/>
          <w:sz w:val="32"/>
          <w:szCs w:val="32"/>
        </w:rPr>
      </w:pPr>
      <w:r>
        <w:rPr>
          <w:rFonts w:hint="eastAsia" w:ascii="仿宋_GB2312" w:eastAsia="仿宋_GB2312"/>
          <w:sz w:val="32"/>
          <w:szCs w:val="32"/>
        </w:rPr>
        <w:t>审查项目占用永久基本农田缴费标准按照当地耕地开垦费最高标准的两倍执行等情况是否明确表述</w:t>
      </w:r>
      <w:r>
        <w:rPr>
          <w:rFonts w:hint="eastAsia" w:eastAsia="楷体"/>
          <w:sz w:val="32"/>
          <w:szCs w:val="32"/>
        </w:rPr>
        <w:t>。</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8</w:t>
      </w:r>
      <w:r>
        <w:rPr>
          <w:rFonts w:ascii="楷体" w:hAnsi="楷体" w:eastAsia="楷体"/>
          <w:bCs/>
          <w:sz w:val="32"/>
          <w:szCs w:val="28"/>
        </w:rPr>
        <w:t>.</w:t>
      </w:r>
      <w:r>
        <w:rPr>
          <w:rFonts w:hint="eastAsia" w:ascii="楷体" w:hAnsi="楷体" w:eastAsia="楷体"/>
          <w:bCs/>
          <w:sz w:val="32"/>
          <w:szCs w:val="28"/>
        </w:rPr>
        <w:t>其他问题情况</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核减情况：审查项目所经</w:t>
      </w:r>
      <w:r>
        <w:rPr>
          <w:rFonts w:ascii="仿宋_GB2312" w:eastAsia="仿宋_GB2312"/>
          <w:sz w:val="32"/>
          <w:szCs w:val="32"/>
        </w:rPr>
        <w:t>（</w:t>
      </w:r>
      <w:r>
        <w:rPr>
          <w:rFonts w:hint="eastAsia" w:ascii="仿宋_GB2312" w:eastAsia="仿宋_GB2312"/>
          <w:sz w:val="32"/>
          <w:szCs w:val="32"/>
        </w:rPr>
        <w:t>在</w:t>
      </w:r>
      <w:r>
        <w:rPr>
          <w:rFonts w:ascii="仿宋_GB2312" w:eastAsia="仿宋_GB2312"/>
          <w:sz w:val="32"/>
          <w:szCs w:val="32"/>
        </w:rPr>
        <w:t>）</w:t>
      </w:r>
      <w:r>
        <w:rPr>
          <w:rFonts w:hint="eastAsia" w:ascii="仿宋_GB2312" w:eastAsia="仿宋_GB2312"/>
          <w:sz w:val="32"/>
          <w:szCs w:val="32"/>
        </w:rPr>
        <w:t>区（市）初审审查中核减用地情况是否明确表述</w:t>
      </w:r>
      <w:r>
        <w:rPr>
          <w:rFonts w:ascii="仿宋_GB2312" w:eastAsia="仿宋_GB2312"/>
          <w:sz w:val="32"/>
          <w:szCs w:val="32"/>
        </w:rPr>
        <w:t>（</w:t>
      </w:r>
      <w:r>
        <w:rPr>
          <w:rFonts w:hint="eastAsia" w:ascii="仿宋_GB2312" w:eastAsia="仿宋_GB2312"/>
          <w:sz w:val="32"/>
          <w:szCs w:val="32"/>
        </w:rPr>
        <w:t>包含核减用地总面积、各地类面积</w:t>
      </w:r>
      <w:r>
        <w:rPr>
          <w:rFonts w:ascii="仿宋_GB2312" w:eastAsia="仿宋_GB2312"/>
          <w:sz w:val="32"/>
          <w:szCs w:val="32"/>
        </w:rPr>
        <w:t>）</w:t>
      </w:r>
      <w:r>
        <w:rPr>
          <w:rFonts w:hint="eastAsia" w:ascii="仿宋_GB2312" w:eastAsia="仿宋_GB2312"/>
          <w:sz w:val="32"/>
          <w:szCs w:val="32"/>
        </w:rPr>
        <w:t>。</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违法占地情况：审查项目涉及违法占地等情况是否明确表述，如涉及需已对人对事查处到位；如违法占地，涉及生态保护红线区的，需单独详细说明。</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自然保护地等情况：审查项目涉及自然保护区、湿地及湿地公园、地质公园、海洋公园、森林公园、国有林场</w:t>
      </w:r>
      <w:r>
        <w:rPr>
          <w:rFonts w:ascii="仿宋_GB2312" w:eastAsia="仿宋_GB2312"/>
          <w:sz w:val="32"/>
          <w:szCs w:val="32"/>
        </w:rPr>
        <w:t>（</w:t>
      </w:r>
      <w:r>
        <w:rPr>
          <w:rFonts w:hint="eastAsia" w:ascii="仿宋_GB2312" w:eastAsia="仿宋_GB2312"/>
          <w:sz w:val="32"/>
          <w:szCs w:val="32"/>
        </w:rPr>
        <w:t>苗圃</w:t>
      </w:r>
      <w:r>
        <w:rPr>
          <w:rFonts w:ascii="仿宋_GB2312" w:eastAsia="仿宋_GB2312"/>
          <w:sz w:val="32"/>
          <w:szCs w:val="32"/>
        </w:rPr>
        <w:t>）</w:t>
      </w:r>
      <w:r>
        <w:rPr>
          <w:rFonts w:hint="eastAsia" w:ascii="仿宋_GB2312" w:eastAsia="仿宋_GB2312"/>
          <w:sz w:val="32"/>
          <w:szCs w:val="32"/>
        </w:rPr>
        <w:t>、风景名胜区、自然遗产、一级保护林地（如涉及应符合调整林地保护等级的条件）等情况是否明确表述，如涉及要明确表述涉及类型、区域、面积。项目涉及占用自然保护地的需取得林业主管部门出具的意见。</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节约集约用地专章编制情况：审查项目编制节约集约用地论证分析专章情况，按照《节约集约用地论证分析专章编制与审查工作指南（试行）》（自然资办函〔2023〕473号）执行。未编制节约集约用地论证分析专章需详细说明原因。</w:t>
      </w:r>
    </w:p>
    <w:p>
      <w:pPr>
        <w:keepNext/>
        <w:keepLines/>
        <w:spacing w:line="560" w:lineRule="exact"/>
        <w:ind w:firstLine="640" w:firstLineChars="200"/>
        <w:outlineLvl w:val="3"/>
        <w:rPr>
          <w:rFonts w:ascii="楷体" w:hAnsi="楷体" w:eastAsia="楷体"/>
          <w:bCs/>
          <w:sz w:val="32"/>
          <w:szCs w:val="28"/>
        </w:rPr>
      </w:pPr>
      <w:bookmarkStart w:id="27" w:name="OLE_LINK56"/>
      <w:bookmarkStart w:id="28" w:name="OLE_LINK57"/>
      <w:r>
        <w:rPr>
          <w:rFonts w:hint="eastAsia" w:ascii="楷体" w:hAnsi="楷体" w:eastAsia="楷体"/>
          <w:bCs/>
          <w:sz w:val="32"/>
          <w:szCs w:val="28"/>
        </w:rPr>
        <w:t>（二）</w:t>
      </w:r>
      <w:bookmarkStart w:id="29" w:name="OLE_LINK21"/>
      <w:bookmarkStart w:id="30" w:name="OLE_LINK22"/>
      <w:r>
        <w:rPr>
          <w:rFonts w:hint="eastAsia" w:ascii="楷体" w:hAnsi="楷体" w:eastAsia="楷体"/>
          <w:bCs/>
          <w:sz w:val="32"/>
          <w:szCs w:val="28"/>
        </w:rPr>
        <w:t>选址意见书（</w:t>
      </w:r>
      <w:bookmarkStart w:id="31" w:name="OLE_LINK58"/>
      <w:bookmarkStart w:id="32" w:name="OLE_LINK59"/>
      <w:r>
        <w:rPr>
          <w:rFonts w:hint="eastAsia" w:ascii="楷体" w:hAnsi="楷体" w:eastAsia="楷体"/>
          <w:bCs/>
          <w:sz w:val="32"/>
          <w:szCs w:val="28"/>
        </w:rPr>
        <w:t>城镇开发边界内，单独办理</w:t>
      </w:r>
      <w:bookmarkEnd w:id="31"/>
      <w:bookmarkEnd w:id="32"/>
      <w:r>
        <w:rPr>
          <w:rFonts w:hint="eastAsia" w:ascii="楷体" w:hAnsi="楷体" w:eastAsia="楷体"/>
          <w:bCs/>
          <w:sz w:val="32"/>
          <w:szCs w:val="28"/>
        </w:rPr>
        <w:t>）、</w:t>
      </w:r>
      <w:bookmarkStart w:id="33" w:name="OLE_LINK18"/>
      <w:bookmarkStart w:id="34" w:name="OLE_LINK63"/>
      <w:bookmarkStart w:id="35" w:name="OLE_LINK62"/>
      <w:bookmarkStart w:id="36" w:name="OLE_LINK17"/>
      <w:r>
        <w:rPr>
          <w:rFonts w:hint="eastAsia" w:ascii="楷体" w:hAnsi="楷体" w:eastAsia="楷体"/>
          <w:bCs/>
          <w:sz w:val="32"/>
          <w:szCs w:val="28"/>
        </w:rPr>
        <w:t>规划条件工作</w:t>
      </w:r>
      <w:bookmarkEnd w:id="29"/>
      <w:bookmarkEnd w:id="30"/>
      <w:r>
        <w:rPr>
          <w:rFonts w:hint="eastAsia" w:ascii="楷体" w:hAnsi="楷体" w:eastAsia="楷体"/>
          <w:bCs/>
          <w:sz w:val="32"/>
          <w:szCs w:val="28"/>
        </w:rPr>
        <w:t>要点</w:t>
      </w:r>
    </w:p>
    <w:bookmarkEnd w:id="33"/>
    <w:bookmarkEnd w:id="34"/>
    <w:bookmarkEnd w:id="35"/>
    <w:bookmarkEnd w:id="36"/>
    <w:p>
      <w:pPr>
        <w:keepNext/>
        <w:keepLines/>
        <w:adjustRightInd w:val="0"/>
        <w:spacing w:line="560" w:lineRule="atLeast"/>
        <w:ind w:firstLine="640" w:firstLineChars="200"/>
        <w:textAlignment w:val="baseline"/>
        <w:outlineLvl w:val="4"/>
        <w:rPr>
          <w:rFonts w:ascii="楷体" w:hAnsi="楷体" w:eastAsia="楷体"/>
          <w:bCs/>
          <w:sz w:val="32"/>
          <w:szCs w:val="28"/>
        </w:rPr>
      </w:pPr>
      <w:bookmarkStart w:id="37" w:name="OLE_LINK88"/>
      <w:bookmarkStart w:id="38" w:name="OLE_LINK87"/>
      <w:r>
        <w:rPr>
          <w:rFonts w:hint="eastAsia" w:ascii="楷体" w:hAnsi="楷体" w:eastAsia="楷体"/>
          <w:bCs/>
          <w:sz w:val="32"/>
          <w:szCs w:val="28"/>
        </w:rPr>
        <w:t>1</w:t>
      </w:r>
      <w:r>
        <w:rPr>
          <w:rFonts w:ascii="楷体" w:hAnsi="楷体" w:eastAsia="楷体"/>
          <w:bCs/>
          <w:sz w:val="32"/>
          <w:szCs w:val="28"/>
        </w:rPr>
        <w:t>.</w:t>
      </w:r>
      <w:r>
        <w:rPr>
          <w:rFonts w:hint="eastAsia" w:ascii="楷体" w:hAnsi="楷体" w:eastAsia="楷体"/>
          <w:bCs/>
          <w:sz w:val="32"/>
          <w:szCs w:val="28"/>
        </w:rPr>
        <w:t>总体要求</w:t>
      </w:r>
    </w:p>
    <w:bookmarkEnd w:id="37"/>
    <w:bookmarkEnd w:id="38"/>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w:t>
      </w:r>
      <w:r>
        <w:rPr>
          <w:rFonts w:ascii="楷体" w:hAnsi="楷体" w:eastAsia="楷体"/>
          <w:bCs/>
          <w:sz w:val="32"/>
          <w:szCs w:val="28"/>
        </w:rPr>
        <w:t>1</w:t>
      </w:r>
      <w:r>
        <w:rPr>
          <w:rFonts w:hint="eastAsia" w:ascii="楷体" w:hAnsi="楷体" w:eastAsia="楷体"/>
          <w:bCs/>
          <w:sz w:val="32"/>
          <w:szCs w:val="28"/>
        </w:rPr>
        <w:t>）做好现场踏勘</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开展地形地貌、地上物、地下管线和隐蔽物的调研，正确反映场地及周边至少</w:t>
      </w:r>
      <w:r>
        <w:rPr>
          <w:rFonts w:ascii="仿宋_GB2312" w:eastAsia="仿宋_GB2312"/>
          <w:sz w:val="32"/>
          <w:szCs w:val="32"/>
        </w:rPr>
        <w:t>50</w:t>
      </w:r>
      <w:r>
        <w:rPr>
          <w:rFonts w:hint="eastAsia" w:ascii="仿宋_GB2312" w:eastAsia="仿宋_GB2312"/>
          <w:sz w:val="32"/>
          <w:szCs w:val="32"/>
        </w:rPr>
        <w:t>米范围内的现状情况（道路、管线等线性工程路边第一排建筑物的现状情况，管线工程类项目应进行物探），并充分考虑以下因素：</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）建筑限高：包括风貌保护、机场、雷达、卫星地面站、电视塔、军事设施等。</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建筑退让：包括高压走廊、油气管道、道路、轨道交通等市政交通设施以及垃圾转运站、变电站、加油站等邻避设施管控要求；被遮挡建筑类型及日照要求；工业污染源、噪声污染源、水源地保护等环保要求；矿产采空区、塌陷区、文物保护、古树名木、海岸带、绿线等其他管控要求。</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）保留的建（构）筑物、树木情况。</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w:t>
      </w:r>
      <w:r>
        <w:rPr>
          <w:rFonts w:ascii="楷体" w:hAnsi="楷体" w:eastAsia="楷体"/>
          <w:bCs/>
          <w:sz w:val="32"/>
          <w:szCs w:val="28"/>
        </w:rPr>
        <w:t>2</w:t>
      </w:r>
      <w:r>
        <w:rPr>
          <w:rFonts w:hint="eastAsia" w:ascii="楷体" w:hAnsi="楷体" w:eastAsia="楷体"/>
          <w:bCs/>
          <w:sz w:val="32"/>
          <w:szCs w:val="28"/>
        </w:rPr>
        <w:t>）严格依据详细规划审查选址意见书</w:t>
      </w:r>
      <w:r>
        <w:rPr>
          <w:rFonts w:ascii="楷体" w:hAnsi="楷体" w:eastAsia="楷体"/>
          <w:bCs/>
          <w:sz w:val="32"/>
          <w:szCs w:val="28"/>
        </w:rPr>
        <w:t>/</w:t>
      </w:r>
      <w:r>
        <w:rPr>
          <w:rFonts w:hint="eastAsia" w:ascii="楷体" w:hAnsi="楷体" w:eastAsia="楷体"/>
          <w:bCs/>
          <w:sz w:val="32"/>
          <w:szCs w:val="28"/>
        </w:rPr>
        <w:t>核定规划条件</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不得将国土空间总体规划和详细规划管控要求之外的非空间治理内容纳入选址意见书</w:t>
      </w:r>
      <w:r>
        <w:rPr>
          <w:rFonts w:ascii="仿宋_GB2312" w:eastAsia="仿宋_GB2312"/>
          <w:sz w:val="32"/>
          <w:szCs w:val="32"/>
        </w:rPr>
        <w:t>/</w:t>
      </w:r>
      <w:r>
        <w:rPr>
          <w:rFonts w:hint="eastAsia" w:ascii="仿宋_GB2312" w:eastAsia="仿宋_GB2312"/>
          <w:sz w:val="32"/>
          <w:szCs w:val="32"/>
        </w:rPr>
        <w:t>规划条件，不得违反国家强制性标准规范设置选址意见书</w:t>
      </w:r>
      <w:r>
        <w:rPr>
          <w:rFonts w:ascii="仿宋_GB2312" w:eastAsia="仿宋_GB2312"/>
          <w:sz w:val="32"/>
          <w:szCs w:val="32"/>
        </w:rPr>
        <w:t>/</w:t>
      </w:r>
      <w:r>
        <w:rPr>
          <w:rFonts w:hint="eastAsia" w:ascii="仿宋_GB2312" w:eastAsia="仿宋_GB2312"/>
          <w:sz w:val="32"/>
          <w:szCs w:val="32"/>
        </w:rPr>
        <w:t>规划条件。</w:t>
      </w:r>
    </w:p>
    <w:p>
      <w:pPr>
        <w:adjustRightInd w:val="0"/>
        <w:spacing w:line="560" w:lineRule="exact"/>
        <w:ind w:firstLine="640" w:firstLineChars="200"/>
        <w:textAlignment w:val="baseline"/>
        <w:rPr>
          <w:rFonts w:ascii="仿宋_GB2312" w:eastAsia="仿宋_GB2312"/>
          <w:sz w:val="32"/>
          <w:szCs w:val="32"/>
        </w:rPr>
      </w:pPr>
      <w:r>
        <w:rPr>
          <w:rFonts w:hint="eastAsia" w:ascii="仿宋_GB2312" w:hAnsi="仿宋_GB2312" w:eastAsia="仿宋_GB2312" w:cs="仿宋_GB2312"/>
          <w:sz w:val="32"/>
          <w:szCs w:val="32"/>
        </w:rPr>
        <w:t>派出分局配合市自然资源和规划局相关处室加强控制性详细规划的日常更新维护，严格按照控制性详细规划和相关技术标准、技术要点、管理规定等提出全要素规划条件。对控制性详细规划尚未更新维护纳入经审批审定的城市设计、专项规划等相关成果的要进行系统梳理核对，将相关规划设计要求一并纳入规划条件。</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w:t>
      </w:r>
      <w:r>
        <w:rPr>
          <w:rFonts w:ascii="楷体" w:hAnsi="楷体" w:eastAsia="楷体"/>
          <w:bCs/>
          <w:sz w:val="32"/>
          <w:szCs w:val="28"/>
        </w:rPr>
        <w:t>3</w:t>
      </w:r>
      <w:r>
        <w:rPr>
          <w:rFonts w:hint="eastAsia" w:ascii="楷体" w:hAnsi="楷体" w:eastAsia="楷体"/>
          <w:bCs/>
          <w:sz w:val="32"/>
          <w:szCs w:val="28"/>
        </w:rPr>
        <w:t>）根据项目类型合理设定内容</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建筑工程类项目应明确用地位置、面积、用地性质、容积率、绿地率、建筑密度、建筑高度、建筑退让、停车泊位以及公共服务、市政交通设施配建、城市设计、风貌管控等。交通工程类项目应明确用地位置及面积、沿线重要穿（跨）越节点、附属设施以及风貌管控等。市政工程类项目应明确建设内容和规模、沿线重要穿（跨）越节点、总体布局等。</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ascii="楷体" w:hAnsi="楷体" w:eastAsia="楷体"/>
          <w:bCs/>
          <w:sz w:val="32"/>
          <w:szCs w:val="28"/>
        </w:rPr>
        <w:t>2.</w:t>
      </w:r>
      <w:r>
        <w:rPr>
          <w:rFonts w:hint="eastAsia" w:ascii="楷体" w:hAnsi="楷体" w:eastAsia="楷体"/>
          <w:bCs/>
          <w:sz w:val="32"/>
          <w:szCs w:val="28"/>
        </w:rPr>
        <w:t>建筑工程类项目</w:t>
      </w:r>
    </w:p>
    <w:bookmarkEnd w:id="27"/>
    <w:bookmarkEnd w:id="28"/>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（1）用地位置</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项目所处行政区名、道路名</w:t>
      </w:r>
      <w:r>
        <w:rPr>
          <w:rFonts w:ascii="仿宋_GB2312" w:eastAsia="仿宋_GB2312"/>
          <w:sz w:val="32"/>
          <w:szCs w:val="32"/>
        </w:rPr>
        <w:t>（</w:t>
      </w:r>
      <w:r>
        <w:rPr>
          <w:rFonts w:hint="eastAsia" w:ascii="仿宋_GB2312" w:eastAsia="仿宋_GB2312"/>
          <w:sz w:val="32"/>
          <w:szCs w:val="32"/>
        </w:rPr>
        <w:t>历史城区应具体到门牌号</w:t>
      </w:r>
      <w:r>
        <w:rPr>
          <w:rFonts w:ascii="仿宋_GB2312" w:eastAsia="仿宋_GB2312"/>
          <w:sz w:val="32"/>
          <w:szCs w:val="32"/>
        </w:rPr>
        <w:t>）</w:t>
      </w:r>
      <w:r>
        <w:rPr>
          <w:rFonts w:hint="eastAsia" w:ascii="仿宋_GB2312" w:eastAsia="仿宋_GB2312"/>
          <w:sz w:val="32"/>
          <w:szCs w:val="32"/>
        </w:rPr>
        <w:t>，四周围合道路名称应清晰准确描述，并填写不动产单元代码。</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（2）用地面积</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项目选址用地面积应符合用地标准，与控制性详细规划地块范围一致，不产生边角地，且不得开天窗。控制性详细规划需要调整的按照《关于印发青岛市控制性详细规划调整管理规定的通知》（青自然资规字〔</w:t>
      </w:r>
      <w:r>
        <w:rPr>
          <w:rFonts w:ascii="仿宋_GB2312" w:eastAsia="仿宋_GB2312"/>
          <w:sz w:val="32"/>
          <w:szCs w:val="32"/>
        </w:rPr>
        <w:t>2023</w:t>
      </w:r>
      <w:r>
        <w:rPr>
          <w:rFonts w:hint="eastAsia" w:ascii="仿宋_GB2312" w:eastAsia="仿宋_GB2312"/>
          <w:sz w:val="32"/>
          <w:szCs w:val="32"/>
        </w:rPr>
        <w:t>〕</w:t>
      </w:r>
      <w:r>
        <w:rPr>
          <w:rFonts w:ascii="仿宋_GB2312" w:eastAsia="仿宋_GB2312"/>
          <w:sz w:val="32"/>
          <w:szCs w:val="32"/>
        </w:rPr>
        <w:t>46</w:t>
      </w:r>
      <w:r>
        <w:rPr>
          <w:rFonts w:hint="eastAsia" w:ascii="仿宋_GB2312" w:eastAsia="仿宋_GB2312"/>
          <w:sz w:val="32"/>
          <w:szCs w:val="32"/>
        </w:rPr>
        <w:t>号）执行。定界地形图需由各区（市）自然资源和规划主管部门予以确认。</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（3）用地性质</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项目立项名称（内容）应与控制性详细规划用地性质相符。标注用地代码，混合/兼容用地应注明各用地或建筑面积比例，并根据项目实际情况注明建设内容及相关要约。两种及两种以上用地性质且要求独立占地的建设项目，分别明确各类用地位置、范围、面积、用地性质、建设强度、配建指标等内容；非独立占地的，可分别确定各类建筑规模或者比例，其他规划指标可统筹在用地内平衡。</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（4）用地使用强度</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1）容积率</w:t>
      </w:r>
      <w:r>
        <w:rPr>
          <w:rFonts w:ascii="仿宋_GB2312" w:eastAsia="仿宋_GB2312"/>
          <w:sz w:val="32"/>
          <w:szCs w:val="32"/>
        </w:rPr>
        <w:t>：</w:t>
      </w:r>
      <w:r>
        <w:rPr>
          <w:rFonts w:hint="eastAsia" w:ascii="仿宋_GB2312" w:eastAsia="仿宋_GB2312"/>
          <w:sz w:val="32"/>
          <w:szCs w:val="32"/>
        </w:rPr>
        <w:t>符合控制性详细规划及相关法规、规范的要求，明确容积率上限、下限，同时应满足《山东省建设用地控制标准》要求。混合用地应注明各类用地计入容积率的建筑面积。可根据项目具体情况表述地下建筑规模。</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2）建筑密度、绿地率、建筑高度：符合</w:t>
      </w:r>
      <w:bookmarkStart w:id="39" w:name="OLE_LINK77"/>
      <w:bookmarkStart w:id="40" w:name="OLE_LINK76"/>
      <w:r>
        <w:rPr>
          <w:rFonts w:hint="eastAsia" w:ascii="仿宋_GB2312" w:eastAsia="仿宋_GB2312"/>
          <w:sz w:val="32"/>
          <w:szCs w:val="32"/>
        </w:rPr>
        <w:t>控制性详细规划</w:t>
      </w:r>
      <w:bookmarkEnd w:id="39"/>
      <w:bookmarkEnd w:id="40"/>
      <w:r>
        <w:rPr>
          <w:rFonts w:hint="eastAsia" w:ascii="仿宋_GB2312" w:eastAsia="仿宋_GB2312"/>
          <w:sz w:val="32"/>
          <w:szCs w:val="32"/>
        </w:rPr>
        <w:t>及相关法规、规范的要求。建筑高度涉及机场净空保护、机场电磁环境保护、涉及军事限高、涉及风貌保护限高等情况的，应完成征求意见。</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3）使用工业用地的建设项目：应满足《工业项目建设用地控制指标》要求，其中行政办公及生活服务设施用地面积不得超过总用地面积的</w:t>
      </w:r>
      <w:r>
        <w:rPr>
          <w:rFonts w:ascii="仿宋_GB2312" w:eastAsia="仿宋_GB2312"/>
          <w:sz w:val="32"/>
          <w:szCs w:val="32"/>
        </w:rPr>
        <w:t>7%</w:t>
      </w:r>
      <w:r>
        <w:rPr>
          <w:rFonts w:hint="eastAsia" w:ascii="仿宋_GB2312" w:eastAsia="仿宋_GB2312"/>
          <w:sz w:val="32"/>
          <w:szCs w:val="32"/>
        </w:rPr>
        <w:t>，建筑面积不得超过总建筑面积的</w:t>
      </w:r>
      <w:r>
        <w:rPr>
          <w:rFonts w:ascii="仿宋_GB2312" w:eastAsia="仿宋_GB2312"/>
          <w:sz w:val="32"/>
          <w:szCs w:val="32"/>
        </w:rPr>
        <w:t>15%</w:t>
      </w:r>
      <w:r>
        <w:rPr>
          <w:rFonts w:hint="eastAsia" w:ascii="仿宋_GB2312" w:eastAsia="仿宋_GB2312"/>
          <w:sz w:val="32"/>
          <w:szCs w:val="32"/>
        </w:rPr>
        <w:t>。</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（5）规划设计要求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1）建筑退让</w:t>
      </w:r>
      <w:r>
        <w:rPr>
          <w:rFonts w:ascii="仿宋_GB2312" w:eastAsia="仿宋_GB2312"/>
          <w:sz w:val="32"/>
          <w:szCs w:val="32"/>
        </w:rPr>
        <w:t>：</w:t>
      </w:r>
      <w:r>
        <w:rPr>
          <w:rFonts w:hint="eastAsia" w:ascii="仿宋_GB2312" w:eastAsia="仿宋_GB2312"/>
          <w:sz w:val="32"/>
          <w:szCs w:val="32"/>
        </w:rPr>
        <w:t>规划用地内建筑物、构筑物及道路与用地界线、建筑红线的退让关系应满足上位规划及市政管线敷设等要求。</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）建筑间距</w:t>
      </w:r>
      <w:r>
        <w:rPr>
          <w:rFonts w:ascii="仿宋_GB2312" w:eastAsia="仿宋_GB2312"/>
          <w:sz w:val="32"/>
          <w:szCs w:val="32"/>
        </w:rPr>
        <w:t>：</w:t>
      </w:r>
      <w:r>
        <w:rPr>
          <w:rFonts w:hint="eastAsia" w:ascii="仿宋_GB2312" w:eastAsia="仿宋_GB2312"/>
          <w:sz w:val="32"/>
          <w:szCs w:val="32"/>
        </w:rPr>
        <w:t>新建建筑之间、新建建筑与周边建筑保持合法间距，并符合规划管理技术规定要求。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3）竖向设计</w:t>
      </w:r>
      <w:r>
        <w:rPr>
          <w:rFonts w:ascii="仿宋_GB2312" w:eastAsia="仿宋_GB2312"/>
          <w:sz w:val="32"/>
          <w:szCs w:val="32"/>
        </w:rPr>
        <w:t>：</w:t>
      </w:r>
      <w:r>
        <w:rPr>
          <w:rFonts w:hint="eastAsia" w:ascii="仿宋_GB2312" w:eastAsia="仿宋_GB2312"/>
          <w:sz w:val="32"/>
          <w:szCs w:val="32"/>
        </w:rPr>
        <w:t>参照周边市政道路和场地平整后标高合理确定本地块竖向标高</w:t>
      </w:r>
      <w:bookmarkStart w:id="41" w:name="OLE_LINK100"/>
      <w:r>
        <w:rPr>
          <w:rFonts w:hint="eastAsia" w:ascii="仿宋_GB2312" w:eastAsia="仿宋_GB2312"/>
          <w:sz w:val="32"/>
          <w:szCs w:val="32"/>
        </w:rPr>
        <w:t>，并满足排水及管线设置要求</w:t>
      </w:r>
      <w:bookmarkEnd w:id="41"/>
      <w:r>
        <w:rPr>
          <w:rFonts w:hint="eastAsia" w:ascii="仿宋_GB2312" w:eastAsia="仿宋_GB2312"/>
          <w:sz w:val="32"/>
          <w:szCs w:val="32"/>
        </w:rPr>
        <w:t>。</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4）交通组织：合理组织规划用地内的交通流线并建立与外部城市道路的便捷联系，避免不同类型交通流线的相互干扰；合理组织地块内各类交通流线，人流车流分离，防止不同类型交通相互干扰</w:t>
      </w:r>
      <w:r>
        <w:rPr>
          <w:rFonts w:ascii="仿宋_GB2312" w:eastAsia="仿宋_GB2312"/>
          <w:sz w:val="32"/>
          <w:szCs w:val="32"/>
        </w:rPr>
        <w:t>；</w:t>
      </w:r>
      <w:r>
        <w:rPr>
          <w:rFonts w:hint="eastAsia" w:ascii="仿宋_GB2312" w:eastAsia="仿宋_GB2312"/>
          <w:sz w:val="32"/>
          <w:szCs w:val="32"/>
        </w:rPr>
        <w:t>内部道路应线路明晰，符合消防规定。</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5）出入口位置</w:t>
      </w:r>
      <w:r>
        <w:rPr>
          <w:rFonts w:ascii="仿宋_GB2312" w:eastAsia="仿宋_GB2312"/>
          <w:sz w:val="32"/>
          <w:szCs w:val="32"/>
        </w:rPr>
        <w:t>：</w:t>
      </w:r>
      <w:r>
        <w:rPr>
          <w:rFonts w:hint="eastAsia" w:ascii="仿宋_GB2312" w:eastAsia="仿宋_GB2312"/>
          <w:sz w:val="32"/>
          <w:szCs w:val="32"/>
        </w:rPr>
        <w:t>依据控制性详细规划设置。</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）停车规模</w:t>
      </w:r>
      <w:r>
        <w:rPr>
          <w:rFonts w:ascii="仿宋_GB2312" w:eastAsia="仿宋_GB2312"/>
          <w:sz w:val="32"/>
          <w:szCs w:val="32"/>
        </w:rPr>
        <w:t>：</w:t>
      </w:r>
      <w:r>
        <w:rPr>
          <w:rFonts w:hint="eastAsia" w:ascii="仿宋_GB2312" w:eastAsia="仿宋_GB2312"/>
          <w:sz w:val="32"/>
          <w:szCs w:val="32"/>
        </w:rPr>
        <w:t>机动车、非机动车（含电动自行车）泊位数量，以及配建地下停车库符合上位规划及相关法规、规范要求；需落实新能源汽车充电设施配建要求。</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）地下空间：合理论证地下空间开发深度，城市道路地下空间开发应满足管线埋深的需要，且不宜超过道路两侧用地范围内的地下空间开发深度。</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（6）公共服务设施配套设置要求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1）按照现行《青岛市市区公共服务设施配套标准及规划导则》及相关规范配齐各类配套设施，需分别明确各项配套设施的规模和配建要求，不得漏项，有碍观瞻的设施应加以隐蔽和美化。</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）必备的公共配套设施应与首期项目同步审定规划设计方案、同步核发建设工程规划许可、同步规划核实。</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（7）管线及附属设施要求</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）结合项目需求对项目配套建设的市政工程（给水、雨水、污水、供电、燃气、通信、有线电视等管线及附属设施）进行管线综合设计，并考虑附属设施的布置。</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2）应结合用地空间资源、日常维护管理、管线安全、建设造价等因素综合比选确定管线地埋或地下室桥架的敷设方式。应结合项目周边地块建设时序，充分考虑现状及规划市政管线情况，合理设置管线接入位置。</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（8）建筑日照要求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1）新建、改建、扩建建设工程日照标准应符合规划管理技术规定及相关法规、规范要求。</w:t>
      </w:r>
    </w:p>
    <w:p>
      <w:pPr>
        <w:adjustRightInd w:val="0"/>
        <w:spacing w:line="560" w:lineRule="exact"/>
        <w:ind w:firstLine="640" w:firstLineChars="200"/>
        <w:textAlignment w:val="baseline"/>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对周边现状有日照要求的建筑有日照遮挡，并造成部分建筑不满足法定日照标准的，建设单位应在取得《建设工程规划许可证》前采取有效措施，依法处置，确保规划审批的合法性。如不能依法处置的，应调整方案或降低容积率，以满足法定日照要求。</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（9）城市设计与景观风貌要求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1）根据</w:t>
      </w:r>
      <w:r>
        <w:rPr>
          <w:rFonts w:hint="eastAsia" w:ascii="仿宋_GB2312" w:hAnsi="仿宋" w:eastAsia="仿宋_GB2312"/>
          <w:sz w:val="32"/>
          <w:szCs w:val="32"/>
        </w:rPr>
        <w:t>城市设计成果，明确新建建筑的风格、色彩等，应体现时代性、地域</w:t>
      </w:r>
      <w:r>
        <w:rPr>
          <w:rFonts w:hint="eastAsia" w:ascii="仿宋_GB2312" w:eastAsia="仿宋_GB2312"/>
          <w:sz w:val="32"/>
          <w:szCs w:val="32"/>
        </w:rPr>
        <w:t>性和项目特性；建筑空间形态应优美、富有韵律，与周边区域协调，形成良好的天际线及视线关系，并注重建筑形体、建筑立面及第五立面的设计；沿街界面形态、高度设置与街道尺度应舒适美观；建筑表现形式应与建筑功能相适应，色彩应协调。</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2）建筑物附属设施：建筑的空调室外机及附属设施不得裸露无序设置，应结合建筑立面设计一体化考虑，隐蔽设计。对于拟设置功能有油烟、噪音等环境卫影响的，应按照国家省市相关规范要求，通过相对独立布局以及设置专用烟道、排污、隔音设施等方式予以合理安排。</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（1</w:t>
      </w:r>
      <w:r>
        <w:rPr>
          <w:rFonts w:ascii="楷体" w:hAnsi="楷体" w:eastAsia="楷体"/>
          <w:bCs/>
          <w:sz w:val="32"/>
          <w:szCs w:val="28"/>
        </w:rPr>
        <w:t>0</w:t>
      </w:r>
      <w:r>
        <w:rPr>
          <w:rFonts w:hint="eastAsia" w:ascii="楷体" w:hAnsi="楷体" w:eastAsia="楷体"/>
          <w:bCs/>
          <w:sz w:val="32"/>
          <w:szCs w:val="28"/>
        </w:rPr>
        <w:t>）相关要求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1）夜景观照明规划要求：应符合城市景观照明专项规划和技术规范等相关要求。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2）无障碍设计：应符合《中华人民共和国无障碍环境建设法》、《无障碍设计规范》(GB50763-2012)、《建筑与市政工程无障碍通用规范》（GB 55019-2021）等相关要求。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3）应根据实际情况增加土壤污染调查、考古等相关要求。</w:t>
      </w:r>
    </w:p>
    <w:p>
      <w:pPr>
        <w:keepNext/>
        <w:keepLines/>
        <w:adjustRightInd w:val="0"/>
        <w:spacing w:line="560" w:lineRule="atLeast"/>
        <w:ind w:firstLine="640" w:firstLineChars="200"/>
        <w:textAlignment w:val="baseline"/>
        <w:outlineLvl w:val="4"/>
        <w:rPr>
          <w:rFonts w:ascii="楷体" w:hAnsi="楷体" w:eastAsia="楷体"/>
          <w:bCs/>
          <w:sz w:val="32"/>
          <w:szCs w:val="28"/>
        </w:rPr>
      </w:pPr>
      <w:bookmarkStart w:id="42" w:name="OLE_LINK91"/>
      <w:bookmarkStart w:id="43" w:name="OLE_LINK92"/>
      <w:bookmarkStart w:id="44" w:name="OLE_LINK61"/>
      <w:bookmarkStart w:id="45" w:name="OLE_LINK60"/>
      <w:r>
        <w:rPr>
          <w:rFonts w:ascii="楷体" w:hAnsi="楷体" w:eastAsia="楷体"/>
          <w:bCs/>
          <w:sz w:val="32"/>
          <w:szCs w:val="28"/>
        </w:rPr>
        <w:t>3.</w:t>
      </w:r>
      <w:r>
        <w:rPr>
          <w:rFonts w:hint="eastAsia" w:ascii="楷体" w:hAnsi="楷体" w:eastAsia="楷体"/>
          <w:bCs/>
          <w:sz w:val="32"/>
          <w:szCs w:val="28"/>
        </w:rPr>
        <w:t>交通工程类项目</w:t>
      </w:r>
    </w:p>
    <w:bookmarkEnd w:id="42"/>
    <w:bookmarkEnd w:id="43"/>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（1）用地位置及面积</w:t>
      </w:r>
    </w:p>
    <w:p>
      <w:pPr>
        <w:adjustRightInd w:val="0"/>
        <w:spacing w:line="560" w:lineRule="exact"/>
        <w:ind w:firstLine="640" w:firstLineChars="200"/>
        <w:textAlignment w:val="baseline"/>
        <w:rPr>
          <w:rFonts w:ascii="仿宋_GB2312" w:eastAsia="仿宋_GB2312"/>
          <w:bCs/>
          <w:sz w:val="32"/>
          <w:szCs w:val="32"/>
        </w:rPr>
      </w:pPr>
      <w:r>
        <w:rPr>
          <w:rFonts w:hint="eastAsia" w:ascii="仿宋_GB2312" w:eastAsia="仿宋_GB2312"/>
          <w:bCs/>
          <w:sz w:val="32"/>
          <w:szCs w:val="32"/>
        </w:rPr>
        <w:t>根据项目建设依据（立项文件、纳入相关建设计划文件等），依据</w:t>
      </w:r>
      <w:bookmarkStart w:id="46" w:name="OLE_LINK94"/>
      <w:bookmarkStart w:id="47" w:name="OLE_LINK93"/>
      <w:r>
        <w:rPr>
          <w:rFonts w:hint="eastAsia" w:ascii="仿宋_GB2312" w:eastAsia="仿宋_GB2312"/>
          <w:bCs/>
          <w:sz w:val="32"/>
          <w:szCs w:val="32"/>
        </w:rPr>
        <w:t>国土空间总体规划、分区规划、控制性详细规划、</w:t>
      </w:r>
      <w:bookmarkEnd w:id="46"/>
      <w:bookmarkEnd w:id="47"/>
      <w:r>
        <w:rPr>
          <w:rFonts w:hint="eastAsia" w:ascii="仿宋_GB2312" w:eastAsia="仿宋_GB2312"/>
          <w:bCs/>
          <w:sz w:val="32"/>
          <w:szCs w:val="32"/>
        </w:rPr>
        <w:t>相关专项规划等，应明确项目用地范围（起止点、走向、宽度等）、用地面积、规划用地性质。</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（2）沿线重要穿（跨）越节点要求</w:t>
      </w:r>
    </w:p>
    <w:p>
      <w:pPr>
        <w:adjustRightInd w:val="0"/>
        <w:spacing w:line="560" w:lineRule="exact"/>
        <w:ind w:firstLine="640" w:firstLineChars="200"/>
        <w:textAlignment w:val="baseline"/>
        <w:rPr>
          <w:rFonts w:ascii="仿宋_GB2312" w:eastAsia="仿宋_GB2312"/>
          <w:bCs/>
          <w:sz w:val="32"/>
          <w:szCs w:val="32"/>
        </w:rPr>
      </w:pPr>
      <w:r>
        <w:rPr>
          <w:rFonts w:hint="eastAsia" w:ascii="仿宋_GB2312" w:eastAsia="仿宋_GB2312"/>
          <w:bCs/>
          <w:sz w:val="32"/>
          <w:szCs w:val="32"/>
        </w:rPr>
        <w:t>应明确沿线涉及的现状及规划河道、铁路、道路、轨道、高压线塔、长输管线等重要节点，提出穿跨越和避让形式等要求。</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（3）附属设施要求</w:t>
      </w:r>
    </w:p>
    <w:p>
      <w:pPr>
        <w:adjustRightInd w:val="0"/>
        <w:spacing w:line="560" w:lineRule="exact"/>
        <w:ind w:firstLine="640" w:firstLineChars="200"/>
        <w:textAlignment w:val="baseline"/>
        <w:rPr>
          <w:rFonts w:ascii="仿宋_GB2312" w:eastAsia="仿宋_GB2312"/>
          <w:bCs/>
          <w:sz w:val="32"/>
          <w:szCs w:val="32"/>
        </w:rPr>
      </w:pPr>
      <w:r>
        <w:rPr>
          <w:rFonts w:hint="eastAsia" w:ascii="仿宋_GB2312" w:eastAsia="仿宋_GB2312"/>
          <w:bCs/>
          <w:sz w:val="32"/>
          <w:szCs w:val="32"/>
        </w:rPr>
        <w:t>应明确随同项目建设需同步配套的配电室、泵站、管理用房、阀室、风亭、小间、闸坝等相关附属设施。</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w:t>
      </w:r>
      <w:r>
        <w:rPr>
          <w:rFonts w:ascii="楷体" w:hAnsi="楷体" w:eastAsia="楷体"/>
          <w:bCs/>
          <w:sz w:val="32"/>
          <w:szCs w:val="28"/>
        </w:rPr>
        <w:t>4</w:t>
      </w:r>
      <w:r>
        <w:rPr>
          <w:rFonts w:hint="eastAsia" w:ascii="楷体" w:hAnsi="楷体" w:eastAsia="楷体"/>
          <w:bCs/>
          <w:sz w:val="32"/>
          <w:szCs w:val="28"/>
        </w:rPr>
        <w:t>）景观风貌要求</w:t>
      </w:r>
    </w:p>
    <w:p>
      <w:pPr>
        <w:adjustRightInd w:val="0"/>
        <w:spacing w:line="560" w:lineRule="exact"/>
        <w:ind w:firstLine="640" w:firstLineChars="200"/>
        <w:textAlignment w:val="baseline"/>
        <w:rPr>
          <w:rFonts w:ascii="仿宋_GB2312" w:eastAsia="仿宋_GB2312"/>
          <w:bCs/>
          <w:sz w:val="32"/>
          <w:szCs w:val="32"/>
        </w:rPr>
      </w:pPr>
      <w:r>
        <w:rPr>
          <w:rFonts w:hint="eastAsia" w:ascii="仿宋_GB2312" w:eastAsia="仿宋_GB2312"/>
          <w:bCs/>
          <w:sz w:val="32"/>
          <w:szCs w:val="32"/>
        </w:rPr>
        <w:t>应明确涉及城市风貌和景观的设计、附属设施和出入口等与周边地块衔接形式等。</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ascii="楷体" w:hAnsi="楷体" w:eastAsia="楷体"/>
          <w:bCs/>
          <w:sz w:val="32"/>
          <w:szCs w:val="28"/>
        </w:rPr>
        <w:t>4.</w:t>
      </w:r>
      <w:r>
        <w:rPr>
          <w:rFonts w:hint="eastAsia" w:ascii="楷体" w:hAnsi="楷体" w:eastAsia="楷体"/>
          <w:bCs/>
          <w:sz w:val="32"/>
          <w:szCs w:val="28"/>
        </w:rPr>
        <w:t>管线工程类项目</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（1）建设内容和规模</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依据</w:t>
      </w:r>
      <w:r>
        <w:rPr>
          <w:rFonts w:hint="eastAsia" w:ascii="仿宋_GB2312" w:eastAsia="仿宋_GB2312"/>
          <w:bCs/>
          <w:sz w:val="32"/>
          <w:szCs w:val="32"/>
        </w:rPr>
        <w:t>国土空间总体规划、分区规划、控制性详细规划、</w:t>
      </w:r>
      <w:r>
        <w:rPr>
          <w:rFonts w:hint="eastAsia" w:ascii="仿宋_GB2312" w:eastAsia="仿宋_GB2312"/>
          <w:sz w:val="32"/>
          <w:szCs w:val="32"/>
        </w:rPr>
        <w:t>相关专项规划，提出工程建设范围（起止点、走向、保护范围、防护间距等）、拟建管线规模（管径、压力等级等）、敷设方式（架空、地埋）。</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（2）沿线重要穿（跨）越节点要求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应明确管线沿线涉及的现状及规划河道、铁路、道路、轨道、高压线塔、长输管线等重要节点，提出穿跨越和避让形式要求。</w:t>
      </w:r>
    </w:p>
    <w:p>
      <w:pPr>
        <w:keepNext/>
        <w:keepLines/>
        <w:adjustRightInd w:val="0"/>
        <w:spacing w:line="560" w:lineRule="atLeast"/>
        <w:ind w:firstLine="640" w:firstLineChars="200"/>
        <w:textAlignment w:val="baseline"/>
        <w:outlineLvl w:val="4"/>
        <w:rPr>
          <w:rFonts w:ascii="楷体" w:hAnsi="楷体" w:eastAsia="楷体"/>
          <w:bCs/>
          <w:sz w:val="32"/>
          <w:szCs w:val="28"/>
        </w:rPr>
      </w:pPr>
      <w:r>
        <w:rPr>
          <w:rFonts w:hint="eastAsia" w:ascii="楷体" w:hAnsi="楷体" w:eastAsia="楷体"/>
          <w:bCs/>
          <w:sz w:val="32"/>
          <w:szCs w:val="28"/>
        </w:rPr>
        <w:t>（3）总体布局要求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提出管线与顺向管线平面位置、与相交管线竖向间距、与临近建构筑物间距要求。</w:t>
      </w:r>
    </w:p>
    <w:bookmarkEnd w:id="44"/>
    <w:bookmarkEnd w:id="45"/>
    <w:p>
      <w:pPr>
        <w:keepNext/>
        <w:keepLines/>
        <w:spacing w:line="560" w:lineRule="exact"/>
        <w:ind w:firstLine="640" w:firstLineChars="200"/>
        <w:jc w:val="left"/>
        <w:outlineLvl w:val="2"/>
        <w:rPr>
          <w:rFonts w:ascii="黑体" w:hAnsi="黑体" w:eastAsia="黑体"/>
          <w:bCs/>
          <w:sz w:val="32"/>
          <w:szCs w:val="32"/>
        </w:rPr>
      </w:pPr>
      <w:bookmarkStart w:id="48" w:name="OLE_LINK64"/>
      <w:bookmarkStart w:id="49" w:name="OLE_LINK65"/>
      <w:r>
        <w:rPr>
          <w:rFonts w:hint="eastAsia" w:ascii="黑体" w:hAnsi="黑体" w:eastAsia="黑体"/>
          <w:bCs/>
          <w:sz w:val="32"/>
          <w:szCs w:val="32"/>
        </w:rPr>
        <w:t>五、附则</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本规定自印发之日起执行。</w:t>
      </w:r>
      <w:bookmarkStart w:id="50" w:name="OLE_LINK11"/>
      <w:bookmarkStart w:id="51" w:name="OLE_LINK12"/>
      <w:r>
        <w:rPr>
          <w:rFonts w:hint="eastAsia" w:ascii="仿宋_GB2312" w:eastAsia="仿宋_GB2312"/>
          <w:sz w:val="32"/>
          <w:szCs w:val="32"/>
        </w:rPr>
        <w:t>《关于印发&lt;“多审合一、多证合一”办理流程&gt;的通知》（青自然资规字〔</w:t>
      </w:r>
      <w:r>
        <w:rPr>
          <w:rFonts w:ascii="仿宋_GB2312" w:eastAsia="仿宋_GB2312"/>
          <w:sz w:val="32"/>
          <w:szCs w:val="32"/>
        </w:rPr>
        <w:t>2021</w:t>
      </w:r>
      <w:r>
        <w:rPr>
          <w:rFonts w:hint="eastAsia" w:ascii="仿宋_GB2312" w:eastAsia="仿宋_GB2312"/>
          <w:sz w:val="32"/>
          <w:szCs w:val="32"/>
        </w:rPr>
        <w:t>〕</w:t>
      </w:r>
      <w:r>
        <w:rPr>
          <w:rFonts w:ascii="仿宋_GB2312" w:eastAsia="仿宋_GB2312"/>
          <w:sz w:val="32"/>
          <w:szCs w:val="32"/>
        </w:rPr>
        <w:t>119</w:t>
      </w:r>
      <w:r>
        <w:rPr>
          <w:rFonts w:hint="eastAsia" w:ascii="仿宋_GB2312" w:eastAsia="仿宋_GB2312"/>
          <w:sz w:val="32"/>
          <w:szCs w:val="32"/>
        </w:rPr>
        <w:t>号）与本文件不一致的，以此为准</w:t>
      </w:r>
      <w:bookmarkEnd w:id="50"/>
      <w:bookmarkEnd w:id="51"/>
      <w:r>
        <w:rPr>
          <w:rFonts w:hint="eastAsia" w:ascii="仿宋_GB2312" w:eastAsia="仿宋_GB2312"/>
          <w:sz w:val="32"/>
          <w:szCs w:val="32"/>
        </w:rPr>
        <w:t>。</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试行期间，国家、</w:t>
      </w:r>
      <w:r>
        <w:rPr>
          <w:rFonts w:ascii="仿宋_GB2312" w:eastAsia="仿宋_GB2312"/>
          <w:sz w:val="32"/>
          <w:szCs w:val="32"/>
        </w:rPr>
        <w:t>省</w:t>
      </w:r>
      <w:r>
        <w:rPr>
          <w:rFonts w:hint="eastAsia" w:ascii="仿宋_GB2312" w:eastAsia="仿宋_GB2312"/>
          <w:sz w:val="32"/>
          <w:szCs w:val="32"/>
        </w:rPr>
        <w:t>、市</w:t>
      </w:r>
      <w:r>
        <w:rPr>
          <w:rFonts w:ascii="仿宋_GB2312" w:eastAsia="仿宋_GB2312"/>
          <w:sz w:val="32"/>
          <w:szCs w:val="32"/>
        </w:rPr>
        <w:t>出台新</w:t>
      </w:r>
      <w:r>
        <w:rPr>
          <w:rFonts w:hint="eastAsia" w:ascii="仿宋_GB2312" w:eastAsia="仿宋_GB2312"/>
          <w:sz w:val="32"/>
          <w:szCs w:val="32"/>
        </w:rPr>
        <w:t>规定</w:t>
      </w:r>
      <w:r>
        <w:rPr>
          <w:rFonts w:ascii="仿宋_GB2312" w:eastAsia="仿宋_GB2312"/>
          <w:sz w:val="32"/>
          <w:szCs w:val="32"/>
        </w:rPr>
        <w:t>的</w:t>
      </w:r>
      <w:r>
        <w:rPr>
          <w:rFonts w:hint="eastAsia" w:ascii="仿宋_GB2312" w:eastAsia="仿宋_GB2312"/>
          <w:sz w:val="32"/>
          <w:szCs w:val="32"/>
        </w:rPr>
        <w:t>，</w:t>
      </w:r>
      <w:r>
        <w:rPr>
          <w:rFonts w:ascii="仿宋_GB2312" w:eastAsia="仿宋_GB2312"/>
          <w:sz w:val="32"/>
          <w:szCs w:val="32"/>
        </w:rPr>
        <w:t>按新</w:t>
      </w:r>
      <w:r>
        <w:rPr>
          <w:rFonts w:hint="eastAsia" w:ascii="仿宋_GB2312" w:eastAsia="仿宋_GB2312"/>
          <w:sz w:val="32"/>
          <w:szCs w:val="32"/>
        </w:rPr>
        <w:t>规定</w:t>
      </w:r>
      <w:r>
        <w:rPr>
          <w:rFonts w:ascii="仿宋_GB2312" w:eastAsia="仿宋_GB2312"/>
          <w:sz w:val="32"/>
          <w:szCs w:val="32"/>
        </w:rPr>
        <w:t>执行</w:t>
      </w:r>
      <w:r>
        <w:rPr>
          <w:rFonts w:hint="eastAsia" w:ascii="仿宋_GB2312" w:eastAsia="仿宋_GB2312"/>
          <w:sz w:val="32"/>
          <w:szCs w:val="32"/>
        </w:rPr>
        <w:t>。</w:t>
      </w:r>
    </w:p>
    <w:p>
      <w:pPr>
        <w:adjustRightInd w:val="0"/>
        <w:spacing w:line="560" w:lineRule="exact"/>
        <w:ind w:firstLine="640" w:firstLineChars="200"/>
        <w:textAlignment w:val="baseline"/>
        <w:rPr>
          <w:rFonts w:ascii="仿宋_GB2312" w:eastAsia="仿宋_GB2312"/>
          <w:sz w:val="32"/>
          <w:szCs w:val="32"/>
        </w:rPr>
      </w:pPr>
    </w:p>
    <w:p>
      <w:pPr>
        <w:adjustRightInd w:val="0"/>
        <w:spacing w:line="560" w:lineRule="exact"/>
        <w:ind w:firstLine="640" w:firstLineChars="200"/>
        <w:textAlignment w:val="baseline"/>
        <w:rPr>
          <w:rFonts w:ascii="仿宋_GB2312" w:eastAsia="仿宋_GB2312"/>
          <w:sz w:val="32"/>
          <w:szCs w:val="32"/>
        </w:rPr>
      </w:pPr>
    </w:p>
    <w:p>
      <w:pPr>
        <w:adjustRightInd w:val="0"/>
        <w:spacing w:line="560" w:lineRule="exact"/>
        <w:ind w:left="1700" w:leftChars="200" w:hanging="1280" w:hangingChars="400"/>
        <w:textAlignment w:val="baseline"/>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1.**</w:t>
      </w:r>
      <w:r>
        <w:rPr>
          <w:rFonts w:hint="eastAsia" w:ascii="仿宋_GB2312" w:eastAsia="仿宋_GB2312"/>
          <w:sz w:val="32"/>
          <w:szCs w:val="32"/>
        </w:rPr>
        <w:t>区（市）自然资源局</w:t>
      </w:r>
      <w:r>
        <w:rPr>
          <w:rFonts w:ascii="仿宋_GB2312" w:eastAsia="仿宋_GB2312"/>
          <w:sz w:val="32"/>
          <w:szCs w:val="32"/>
        </w:rPr>
        <w:t>/</w:t>
      </w:r>
      <w:r>
        <w:rPr>
          <w:rFonts w:hint="eastAsia" w:ascii="仿宋_GB2312" w:eastAsia="仿宋_GB2312"/>
          <w:sz w:val="32"/>
          <w:szCs w:val="32"/>
        </w:rPr>
        <w:t>自然资源和规划局关于</w:t>
      </w:r>
      <w:r>
        <w:rPr>
          <w:rFonts w:ascii="仿宋_GB2312" w:eastAsia="仿宋_GB2312"/>
          <w:sz w:val="32"/>
          <w:szCs w:val="32"/>
        </w:rPr>
        <w:t>**</w:t>
      </w:r>
      <w:r>
        <w:rPr>
          <w:rFonts w:hint="eastAsia" w:ascii="仿宋_GB2312" w:eastAsia="仿宋_GB2312"/>
          <w:sz w:val="32"/>
          <w:szCs w:val="32"/>
        </w:rPr>
        <w:t>建设项目用地预审与选址意见初审意见的报告</w:t>
      </w:r>
    </w:p>
    <w:p>
      <w:pPr>
        <w:adjustRightInd w:val="0"/>
        <w:spacing w:line="560" w:lineRule="exact"/>
        <w:ind w:left="1700" w:leftChars="200" w:hanging="1280" w:hangingChars="400"/>
        <w:textAlignment w:val="baseline"/>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2</w:t>
      </w: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建设项目用地预审与选址意见书</w:t>
      </w:r>
      <w:r>
        <w:rPr>
          <w:rFonts w:ascii="仿宋_GB2312" w:eastAsia="仿宋_GB2312"/>
          <w:sz w:val="32"/>
          <w:szCs w:val="32"/>
        </w:rPr>
        <w:t>/</w:t>
      </w:r>
      <w:r>
        <w:rPr>
          <w:rFonts w:hint="eastAsia" w:ascii="仿宋_GB2312" w:eastAsia="仿宋_GB2312"/>
          <w:sz w:val="32"/>
          <w:szCs w:val="32"/>
        </w:rPr>
        <w:t>规划条件通知书模板</w:t>
      </w:r>
    </w:p>
    <w:bookmarkEnd w:id="48"/>
    <w:bookmarkEnd w:id="49"/>
    <w:p>
      <w:pPr>
        <w:adjustRightInd w:val="0"/>
        <w:spacing w:line="560" w:lineRule="exact"/>
        <w:ind w:firstLine="640" w:firstLineChars="200"/>
        <w:textAlignment w:val="baseline"/>
        <w:rPr>
          <w:rFonts w:ascii="仿宋_GB2312" w:eastAsia="仿宋_GB2312"/>
          <w:sz w:val="32"/>
          <w:szCs w:val="32"/>
        </w:rPr>
      </w:pPr>
    </w:p>
    <w:p>
      <w:pPr>
        <w:widowControl/>
        <w:jc w:val="left"/>
        <w:rPr>
          <w:rFonts w:ascii="仿宋_GB2312" w:eastAsia="仿宋_GB2312"/>
          <w:sz w:val="32"/>
          <w:szCs w:val="32"/>
        </w:rPr>
      </w:pPr>
      <w:r>
        <w:rPr>
          <w:rFonts w:ascii="仿宋_GB2312" w:eastAsia="仿宋_GB2312"/>
          <w:sz w:val="32"/>
          <w:szCs w:val="32"/>
        </w:rPr>
        <w:br w:type="page"/>
      </w:r>
    </w:p>
    <w:p>
      <w:pPr>
        <w:keepNext/>
        <w:keepLines/>
        <w:spacing w:line="560" w:lineRule="exact"/>
        <w:ind w:firstLine="640" w:firstLineChars="200"/>
        <w:jc w:val="left"/>
        <w:outlineLvl w:val="2"/>
        <w:rPr>
          <w:rFonts w:ascii="黑体" w:hAnsi="黑体" w:eastAsia="黑体"/>
          <w:bCs/>
          <w:sz w:val="32"/>
          <w:szCs w:val="32"/>
        </w:rPr>
      </w:pPr>
      <w:r>
        <w:rPr>
          <w:rFonts w:hint="eastAsia" w:ascii="黑体" w:hAnsi="黑体" w:eastAsia="黑体"/>
          <w:bCs/>
          <w:sz w:val="32"/>
          <w:szCs w:val="32"/>
        </w:rPr>
        <w:t>附件</w:t>
      </w:r>
      <w:r>
        <w:rPr>
          <w:rFonts w:ascii="黑体" w:hAnsi="黑体" w:eastAsia="黑体"/>
          <w:bCs/>
          <w:sz w:val="32"/>
          <w:szCs w:val="32"/>
        </w:rPr>
        <w:t>1</w:t>
      </w:r>
      <w:r>
        <w:rPr>
          <w:rFonts w:hint="eastAsia" w:ascii="黑体" w:hAnsi="黑体" w:eastAsia="黑体"/>
          <w:bCs/>
          <w:sz w:val="32"/>
          <w:szCs w:val="32"/>
        </w:rPr>
        <w:t xml:space="preserve"> </w:t>
      </w:r>
      <w:r>
        <w:rPr>
          <w:rFonts w:ascii="黑体" w:hAnsi="黑体" w:eastAsia="黑体"/>
          <w:bCs/>
          <w:sz w:val="32"/>
          <w:szCs w:val="32"/>
        </w:rPr>
        <w:t>**</w:t>
      </w:r>
      <w:r>
        <w:rPr>
          <w:rFonts w:hint="eastAsia" w:ascii="黑体" w:hAnsi="黑体" w:eastAsia="黑体"/>
          <w:bCs/>
          <w:sz w:val="32"/>
          <w:szCs w:val="32"/>
        </w:rPr>
        <w:t>区（市）自然资源局</w:t>
      </w:r>
      <w:r>
        <w:rPr>
          <w:rFonts w:ascii="黑体" w:hAnsi="黑体" w:eastAsia="黑体"/>
          <w:bCs/>
          <w:sz w:val="32"/>
          <w:szCs w:val="32"/>
        </w:rPr>
        <w:t>/</w:t>
      </w:r>
      <w:r>
        <w:rPr>
          <w:rFonts w:hint="eastAsia" w:ascii="黑体" w:hAnsi="黑体" w:eastAsia="黑体"/>
          <w:bCs/>
          <w:sz w:val="32"/>
          <w:szCs w:val="32"/>
        </w:rPr>
        <w:t>自然资源和规划局关于</w:t>
      </w:r>
      <w:r>
        <w:rPr>
          <w:rFonts w:ascii="黑体" w:hAnsi="黑体" w:eastAsia="黑体"/>
          <w:bCs/>
          <w:sz w:val="32"/>
          <w:szCs w:val="32"/>
        </w:rPr>
        <w:t>**</w:t>
      </w:r>
      <w:r>
        <w:rPr>
          <w:rFonts w:hint="eastAsia" w:ascii="黑体" w:hAnsi="黑体" w:eastAsia="黑体"/>
          <w:bCs/>
          <w:sz w:val="32"/>
          <w:szCs w:val="32"/>
        </w:rPr>
        <w:t>建设项目用地预审与选址意见初审意见的报告</w:t>
      </w:r>
    </w:p>
    <w:p>
      <w:pPr>
        <w:adjustRightInd w:val="0"/>
        <w:spacing w:line="360" w:lineRule="atLeast"/>
        <w:textAlignment w:val="baseline"/>
        <w:rPr>
          <w:rFonts w:eastAsia="黑体"/>
          <w:sz w:val="32"/>
          <w:szCs w:val="32"/>
        </w:rPr>
      </w:pPr>
    </w:p>
    <w:p>
      <w:pPr>
        <w:adjustRightInd w:val="0"/>
        <w:spacing w:line="360" w:lineRule="atLeast"/>
        <w:textAlignment w:val="baseline"/>
        <w:rPr>
          <w:rFonts w:eastAsia="黑体"/>
          <w:sz w:val="32"/>
          <w:szCs w:val="32"/>
        </w:rPr>
      </w:pPr>
    </w:p>
    <w:p>
      <w:pPr>
        <w:widowControl/>
        <w:shd w:val="clear" w:color="auto" w:fill="FFFFFF"/>
        <w:adjustRightInd w:val="0"/>
        <w:spacing w:line="560" w:lineRule="exact"/>
        <w:jc w:val="center"/>
        <w:textAlignment w:val="baseline"/>
        <w:rPr>
          <w:rFonts w:ascii="方正小标宋_GBK" w:hAnsi="华文中宋" w:eastAsia="方正小标宋_GBK" w:cs="宋体"/>
          <w:kern w:val="0"/>
          <w:sz w:val="44"/>
          <w:szCs w:val="44"/>
        </w:rPr>
      </w:pPr>
      <w:r>
        <w:rPr>
          <w:rFonts w:ascii="方正小标宋_GBK" w:hAnsi="华文中宋" w:eastAsia="方正小标宋_GBK" w:cs="宋体"/>
          <w:kern w:val="0"/>
          <w:sz w:val="44"/>
          <w:szCs w:val="44"/>
        </w:rPr>
        <w:t>**</w:t>
      </w:r>
      <w:r>
        <w:rPr>
          <w:rFonts w:hint="eastAsia" w:ascii="方正小标宋_GBK" w:hAnsi="华文中宋" w:eastAsia="方正小标宋_GBK" w:cs="宋体"/>
          <w:kern w:val="0"/>
          <w:sz w:val="44"/>
          <w:szCs w:val="44"/>
        </w:rPr>
        <w:t>区（市）自然资源局</w:t>
      </w:r>
      <w:r>
        <w:rPr>
          <w:rFonts w:ascii="方正小标宋_GBK" w:hAnsi="华文中宋" w:eastAsia="方正小标宋_GBK" w:cs="宋体"/>
          <w:kern w:val="0"/>
          <w:sz w:val="44"/>
          <w:szCs w:val="44"/>
        </w:rPr>
        <w:t>/</w:t>
      </w:r>
      <w:r>
        <w:rPr>
          <w:rFonts w:hint="eastAsia" w:ascii="方正小标宋_GBK" w:hAnsi="华文中宋" w:eastAsia="方正小标宋_GBK" w:cs="宋体"/>
          <w:kern w:val="0"/>
          <w:sz w:val="44"/>
          <w:szCs w:val="44"/>
        </w:rPr>
        <w:t>自然资源和规划局</w:t>
      </w:r>
    </w:p>
    <w:p>
      <w:pPr>
        <w:widowControl/>
        <w:shd w:val="clear" w:color="auto" w:fill="FFFFFF"/>
        <w:adjustRightInd w:val="0"/>
        <w:spacing w:line="560" w:lineRule="exact"/>
        <w:jc w:val="center"/>
        <w:textAlignment w:val="baseline"/>
        <w:rPr>
          <w:rFonts w:ascii="方正小标宋_GBK" w:hAnsi="华文中宋" w:eastAsia="方正小标宋_GBK" w:cs="宋体"/>
          <w:kern w:val="0"/>
          <w:sz w:val="44"/>
          <w:szCs w:val="44"/>
        </w:rPr>
      </w:pPr>
      <w:r>
        <w:rPr>
          <w:rFonts w:hint="eastAsia" w:ascii="方正小标宋_GBK" w:hAnsi="华文中宋" w:eastAsia="方正小标宋_GBK" w:cs="宋体"/>
          <w:kern w:val="0"/>
          <w:sz w:val="44"/>
          <w:szCs w:val="44"/>
        </w:rPr>
        <w:t>关于</w:t>
      </w:r>
      <w:r>
        <w:rPr>
          <w:rFonts w:ascii="方正小标宋_GBK" w:hAnsi="华文中宋" w:eastAsia="方正小标宋_GBK" w:cs="宋体"/>
          <w:kern w:val="0"/>
          <w:sz w:val="44"/>
          <w:szCs w:val="44"/>
        </w:rPr>
        <w:t>**</w:t>
      </w:r>
      <w:r>
        <w:rPr>
          <w:rFonts w:hint="eastAsia" w:ascii="方正小标宋_GBK" w:hAnsi="华文中宋" w:eastAsia="方正小标宋_GBK" w:cs="宋体"/>
          <w:kern w:val="0"/>
          <w:sz w:val="44"/>
          <w:szCs w:val="44"/>
        </w:rPr>
        <w:t>建设项目用地预审与选址意见</w:t>
      </w:r>
    </w:p>
    <w:p>
      <w:pPr>
        <w:widowControl/>
        <w:shd w:val="clear" w:color="auto" w:fill="FFFFFF"/>
        <w:adjustRightInd w:val="0"/>
        <w:spacing w:line="560" w:lineRule="exact"/>
        <w:jc w:val="center"/>
        <w:textAlignment w:val="baseline"/>
        <w:rPr>
          <w:rFonts w:ascii="方正小标宋_GBK" w:hAnsi="华文中宋" w:eastAsia="方正小标宋_GBK" w:cs="宋体"/>
          <w:kern w:val="0"/>
          <w:sz w:val="44"/>
          <w:szCs w:val="44"/>
        </w:rPr>
      </w:pPr>
      <w:r>
        <w:rPr>
          <w:rFonts w:hint="eastAsia" w:ascii="方正小标宋_GBK" w:hAnsi="华文中宋" w:eastAsia="方正小标宋_GBK" w:cs="宋体"/>
          <w:kern w:val="0"/>
          <w:sz w:val="44"/>
          <w:szCs w:val="44"/>
        </w:rPr>
        <w:t>初审意见的报告</w:t>
      </w:r>
    </w:p>
    <w:p>
      <w:pPr>
        <w:widowControl/>
        <w:shd w:val="clear" w:color="auto" w:fill="FFFFFF"/>
        <w:adjustRightInd w:val="0"/>
        <w:spacing w:line="560" w:lineRule="exact"/>
        <w:jc w:val="center"/>
        <w:textAlignment w:val="baseline"/>
        <w:rPr>
          <w:rFonts w:ascii="方正小标宋_GBK" w:hAnsi="华文中宋" w:eastAsia="方正小标宋_GBK" w:cs="宋体"/>
          <w:kern w:val="0"/>
          <w:sz w:val="44"/>
          <w:szCs w:val="44"/>
        </w:rPr>
      </w:pPr>
    </w:p>
    <w:p>
      <w:pPr>
        <w:widowControl/>
        <w:shd w:val="clear" w:color="auto" w:fill="FFFFFF"/>
        <w:adjustRightInd w:val="0"/>
        <w:snapToGrid w:val="0"/>
        <w:spacing w:line="560" w:lineRule="exac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市自然资源和规划局：</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根据《中华人民共和国土地管理法实施条例》、《山东省城乡规划条例》、《建设项目用地预审管理办法》（国土资源部令第</w:t>
      </w:r>
      <w:r>
        <w:rPr>
          <w:rFonts w:ascii="仿宋_GB2312" w:hAnsi="仿宋_GB2312" w:eastAsia="仿宋_GB2312" w:cs="仿宋_GB2312"/>
          <w:sz w:val="32"/>
          <w:szCs w:val="32"/>
        </w:rPr>
        <w:t>68</w:t>
      </w:r>
      <w:r>
        <w:rPr>
          <w:rFonts w:hint="eastAsia" w:ascii="仿宋_GB2312" w:hAnsi="仿宋_GB2312" w:eastAsia="仿宋_GB2312" w:cs="仿宋_GB2312"/>
          <w:sz w:val="32"/>
          <w:szCs w:val="32"/>
        </w:rPr>
        <w:t>号）、《自然资源部关于进一步做好用地用海要素保障的通知》（自然资发〔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89</w:t>
      </w:r>
      <w:r>
        <w:rPr>
          <w:rFonts w:hint="eastAsia" w:ascii="仿宋_GB2312" w:hAnsi="仿宋_GB2312" w:eastAsia="仿宋_GB2312" w:cs="仿宋_GB2312"/>
          <w:sz w:val="32"/>
          <w:szCs w:val="32"/>
        </w:rPr>
        <w:t>号）、《自然资源部生态环境部国家林业和草原局关于加强生态保护红线管理的通知（试行）》（自然资发〔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142</w:t>
      </w:r>
      <w:r>
        <w:rPr>
          <w:rFonts w:hint="eastAsia" w:ascii="仿宋_GB2312" w:hAnsi="仿宋_GB2312" w:eastAsia="仿宋_GB2312" w:cs="仿宋_GB2312"/>
          <w:sz w:val="32"/>
          <w:szCs w:val="32"/>
        </w:rPr>
        <w:t>号）等规定，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因部分用地范围在城镇开发边界范围外，需申请办理用地预审，因项目属于审批（核准）类且采取划拨方式取得土地使用权，需办理《建设项目用地预审与选址意见书》，我局受理了相关申请，并进行了初审审查。现将初步审查意见报告如下：</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一、项目基本情况</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〔项目建设依据〕</w:t>
      </w:r>
      <w:r>
        <w:rPr>
          <w:rFonts w:hint="eastAsia" w:ascii="仿宋_GB2312" w:hAnsi="仿宋_GB2312" w:eastAsia="仿宋_GB2312" w:cs="仿宋_GB2312"/>
          <w:sz w:val="32"/>
          <w:szCs w:val="32"/>
        </w:rPr>
        <w:t>项目已取得项目建议书批复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项目已纳入相关规划</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项目已纳入地方规定的其他依据文件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项目已取得项目备案表。</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注：项目列入名称和项目实际名称差别较大的，需要立项同级的行业主管部门出具说明。</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〔项目立项层级〕</w:t>
      </w:r>
      <w:r>
        <w:rPr>
          <w:rFonts w:hint="eastAsia" w:ascii="仿宋_GB2312" w:hAnsi="仿宋_GB2312" w:eastAsia="仿宋_GB2312" w:cs="仿宋_GB2312"/>
          <w:sz w:val="32"/>
          <w:szCs w:val="32"/>
        </w:rPr>
        <w:t>项目应由省级或市级或县级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部门审批（核准、备案），符合由省级或市级或县级自然资源主管部门办理的条件。项目建设依据属于经国务院同意的国家级规划，符合受理占用永久基本农田的重大建设项目用地预审范畴。</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注：项目用地预审层级与立项机关层级不一致的，需说明具体原因。</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〔项目建设内容〕</w:t>
      </w:r>
      <w:r>
        <w:rPr>
          <w:rFonts w:hint="eastAsia" w:ascii="仿宋_GB2312" w:hAnsi="仿宋_GB2312" w:eastAsia="仿宋_GB2312" w:cs="仿宋_GB2312"/>
          <w:sz w:val="32"/>
          <w:szCs w:val="32"/>
        </w:rPr>
        <w:t>项目为新建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工程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改扩建工程，项目代码为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，项目总投资约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亿元，项目建设内容为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注：项目建设内容需与项目行业主管部门出具的审查意见内容保持一致，不一致的需具备行业主管部门出具的说明。</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〔项目建设意义〕</w:t>
      </w:r>
      <w:r>
        <w:rPr>
          <w:rFonts w:hint="eastAsia" w:ascii="仿宋_GB2312" w:hAnsi="仿宋_GB2312" w:eastAsia="仿宋_GB2312" w:cs="仿宋_GB2312"/>
          <w:sz w:val="32"/>
          <w:szCs w:val="32"/>
        </w:rPr>
        <w:t>项目建设对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具有重要意义，项目建设符合国家产业政策和国家土地供应政策。</w:t>
      </w:r>
      <w:r>
        <w:rPr>
          <w:rFonts w:ascii="仿宋_GB2312" w:hAnsi="仿宋_GB2312" w:eastAsia="仿宋_GB2312" w:cs="仿宋_GB2312"/>
          <w:sz w:val="32"/>
          <w:szCs w:val="32"/>
        </w:rPr>
        <w:t xml:space="preserve"> </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〔项目建设地点〕</w:t>
      </w:r>
      <w:r>
        <w:rPr>
          <w:rFonts w:hint="eastAsia" w:ascii="仿宋_GB2312" w:hAnsi="仿宋_GB2312" w:eastAsia="仿宋_GB2312" w:cs="仿宋_GB2312"/>
          <w:sz w:val="32"/>
          <w:szCs w:val="32"/>
        </w:rPr>
        <w:t>项目建设地点涉及山东省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乡（镇、街），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乡（镇、街）。</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二、项目选址情况</w:t>
      </w:r>
    </w:p>
    <w:p>
      <w:pPr>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〔项目纳入国土空间规划情况〕</w:t>
      </w:r>
      <w:r>
        <w:rPr>
          <w:rFonts w:hint="eastAsia" w:ascii="仿宋_GB2312" w:hAnsi="仿宋_GB2312" w:eastAsia="仿宋_GB2312" w:cs="仿宋_GB2312"/>
          <w:sz w:val="32"/>
          <w:szCs w:val="32"/>
        </w:rPr>
        <w:t>项目已纳入经国务院批复的《山东省国土空间规划（</w:t>
      </w:r>
      <w:r>
        <w:rPr>
          <w:rFonts w:ascii="仿宋_GB2312" w:hAnsi="仿宋_GB2312" w:eastAsia="仿宋_GB2312" w:cs="仿宋_GB2312"/>
          <w:sz w:val="32"/>
          <w:szCs w:val="32"/>
        </w:rPr>
        <w:t>2021-2035</w:t>
      </w:r>
      <w:r>
        <w:rPr>
          <w:rFonts w:hint="eastAsia" w:ascii="仿宋_GB2312" w:hAnsi="仿宋_GB2312" w:eastAsia="仿宋_GB2312" w:cs="仿宋_GB2312"/>
          <w:sz w:val="32"/>
          <w:szCs w:val="32"/>
        </w:rPr>
        <w:t>年）》/《青岛市国土空间总体规划（</w:t>
      </w:r>
      <w:r>
        <w:rPr>
          <w:rFonts w:ascii="仿宋_GB2312" w:hAnsi="仿宋_GB2312" w:eastAsia="仿宋_GB2312" w:cs="仿宋_GB2312"/>
          <w:sz w:val="32"/>
          <w:szCs w:val="32"/>
        </w:rPr>
        <w:t>2021-2035</w:t>
      </w:r>
      <w:r>
        <w:rPr>
          <w:rFonts w:hint="eastAsia" w:ascii="仿宋_GB2312" w:hAnsi="仿宋_GB2312" w:eastAsia="仿宋_GB2312" w:cs="仿宋_GB2312"/>
          <w:sz w:val="32"/>
          <w:szCs w:val="32"/>
        </w:rPr>
        <w:t>年）》或经省政府批复的《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县（市）国土空间总体规划（</w:t>
      </w:r>
      <w:r>
        <w:rPr>
          <w:rFonts w:ascii="仿宋_GB2312" w:hAnsi="仿宋_GB2312" w:eastAsia="仿宋_GB2312" w:cs="仿宋_GB2312"/>
          <w:sz w:val="32"/>
          <w:szCs w:val="32"/>
        </w:rPr>
        <w:t>2021-2035</w:t>
      </w:r>
      <w:r>
        <w:rPr>
          <w:rFonts w:hint="eastAsia" w:ascii="仿宋_GB2312" w:hAnsi="仿宋_GB2312" w:eastAsia="仿宋_GB2312" w:cs="仿宋_GB2312"/>
          <w:sz w:val="32"/>
          <w:szCs w:val="32"/>
        </w:rPr>
        <w:t>年）》重点项目清单，纳入名称为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，列入名称和项目名称不一致的，需说明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该项目与列入国土空间规划重点项目清单的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项目为同一项目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，有关部门和单位对项目用地无颠覆性意见，符合国土空间规划管控规则。项目所在地县级人民政府已确保项目布局和规模统筹纳入规划期至</w:t>
      </w:r>
      <w:r>
        <w:rPr>
          <w:rFonts w:ascii="仿宋_GB2312" w:hAnsi="仿宋_GB2312" w:eastAsia="仿宋_GB2312" w:cs="仿宋_GB2312"/>
          <w:sz w:val="32"/>
          <w:szCs w:val="32"/>
        </w:rPr>
        <w:t>2035</w:t>
      </w:r>
      <w:r>
        <w:rPr>
          <w:rFonts w:hint="eastAsia" w:ascii="仿宋_GB2312" w:hAnsi="仿宋_GB2312" w:eastAsia="仿宋_GB2312" w:cs="仿宋_GB2312"/>
          <w:sz w:val="32"/>
          <w:szCs w:val="32"/>
        </w:rPr>
        <w:t>年的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县国土空间规划。项目用地选址与国土空间规划预留廊道重合度为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，部分不重合的具体原因为：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项目纳入国土空间规划核实情况，要注意所纳入国土空间规划是否获得批复，尚未获得批复的要明确表述意见征集情况，明确项目符合国土空间规划管控规则；项目用地选址未与国土空间规划预留廊道完全重合的，要重点核实未重合的具体原因。</w:t>
      </w:r>
    </w:p>
    <w:p>
      <w:pPr>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〔项目选址选线情况〕</w:t>
      </w:r>
      <w:r>
        <w:rPr>
          <w:rFonts w:hint="eastAsia" w:ascii="仿宋_GB2312" w:hAnsi="仿宋_GB2312" w:eastAsia="仿宋_GB2312" w:cs="仿宋_GB2312"/>
          <w:sz w:val="32"/>
          <w:szCs w:val="32"/>
        </w:rPr>
        <w:t>项目坚持节约集约用地原则，通过多个方案的比选，最终确定本方案，推荐方案合理、可行，我局在初审审查过程中对推荐方案提出了进一步优化的意见建议，分别是：</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，项目单位均已采纳或部分采纳。</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注：方案比选过程要通过列表的形式详细表述，且最终总结选择推荐方案的原因。</w:t>
      </w:r>
    </w:p>
    <w:tbl>
      <w:tblPr>
        <w:tblStyle w:val="3"/>
        <w:tblW w:w="5000" w:type="pct"/>
        <w:tblInd w:w="50" w:type="dxa"/>
        <w:tblLayout w:type="autofit"/>
        <w:tblCellMar>
          <w:top w:w="0" w:type="dxa"/>
          <w:left w:w="0" w:type="dxa"/>
          <w:bottom w:w="0" w:type="dxa"/>
          <w:right w:w="0" w:type="dxa"/>
        </w:tblCellMar>
      </w:tblPr>
      <w:tblGrid>
        <w:gridCol w:w="1791"/>
        <w:gridCol w:w="4287"/>
        <w:gridCol w:w="939"/>
        <w:gridCol w:w="939"/>
        <w:gridCol w:w="938"/>
      </w:tblGrid>
      <w:tr>
        <w:tblPrEx>
          <w:tblCellMar>
            <w:top w:w="0" w:type="dxa"/>
            <w:left w:w="0" w:type="dxa"/>
            <w:bottom w:w="0" w:type="dxa"/>
            <w:right w:w="0" w:type="dxa"/>
          </w:tblCellMar>
        </w:tblPrEx>
        <w:trPr>
          <w:trHeight w:val="187" w:hRule="atLeast"/>
        </w:trPr>
        <w:tc>
          <w:tcPr>
            <w:tcW w:w="1007"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bCs/>
                <w:sz w:val="24"/>
                <w:szCs w:val="32"/>
              </w:rPr>
              <w:t>指标分类</w:t>
            </w: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bCs/>
                <w:sz w:val="24"/>
                <w:szCs w:val="32"/>
              </w:rPr>
              <w:t>具体指标</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bCs/>
                <w:sz w:val="24"/>
                <w:szCs w:val="32"/>
              </w:rPr>
              <w:t>备选方案1</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bCs/>
                <w:sz w:val="24"/>
                <w:szCs w:val="32"/>
              </w:rPr>
              <w:t>备选方案2</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bCs/>
                <w:sz w:val="24"/>
                <w:szCs w:val="32"/>
              </w:rPr>
              <w:t>…</w:t>
            </w:r>
          </w:p>
        </w:tc>
      </w:tr>
      <w:tr>
        <w:tblPrEx>
          <w:tblCellMar>
            <w:top w:w="0" w:type="dxa"/>
            <w:left w:w="0" w:type="dxa"/>
            <w:bottom w:w="0" w:type="dxa"/>
            <w:right w:w="0" w:type="dxa"/>
          </w:tblCellMar>
        </w:tblPrEx>
        <w:trPr>
          <w:trHeight w:val="187" w:hRule="atLeast"/>
        </w:trPr>
        <w:tc>
          <w:tcPr>
            <w:tcW w:w="1007" w:type="pct"/>
            <w:vMerge w:val="restar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sz w:val="24"/>
                <w:szCs w:val="32"/>
              </w:rPr>
              <w:t>基本情况</w:t>
            </w: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1.项目名称</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2.项目地形区</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3.线路长度(线性)/长与宽(块状)(km)</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4.投资估算(万元)</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5.项目用地规模(含原国有、新申请)</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460" w:hRule="atLeast"/>
        </w:trPr>
        <w:tc>
          <w:tcPr>
            <w:tcW w:w="1007" w:type="pct"/>
            <w:vMerge w:val="restar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sz w:val="24"/>
                <w:szCs w:val="32"/>
              </w:rPr>
              <w:t>涉及“三区三线”情况</w:t>
            </w: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6.涉及国土空间规划城镇开发边界情况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460"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7.涉及城镇开发边界范围内用地规模情况(公顷)</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8.占用耕地面积(公顷)</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9.耕地占项目总用地比例</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460"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14.功能分区占用永久基本农田面积(公顷)</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11.永久基本农田占项目总用地比例</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12.占压或穿越生态保护红线情况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restar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sz w:val="24"/>
                <w:szCs w:val="32"/>
              </w:rPr>
              <w:t>涉及自然保护区情况</w:t>
            </w: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13.涉及的级别、类型、区域</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14.涉及次数</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15.涉及面积(公顷)</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restar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r>
              <w:rPr>
                <w:rFonts w:hint="eastAsia" w:ascii="楷体" w:hAnsi="楷体" w:eastAsia="楷体" w:cs="宋体"/>
                <w:sz w:val="24"/>
                <w:szCs w:val="32"/>
              </w:rPr>
              <w:t>选址约束性</w:t>
            </w: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16.生态敏感区情况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17.矿产资源情况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18.历史文物保护情况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19.重要基础设施情况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20.拆迁安置情况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323"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21.面临的“邻避”情况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22.土地复垦情况</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r>
        <w:tblPrEx>
          <w:tblCellMar>
            <w:top w:w="0" w:type="dxa"/>
            <w:left w:w="0" w:type="dxa"/>
            <w:bottom w:w="0" w:type="dxa"/>
            <w:right w:w="0" w:type="dxa"/>
          </w:tblCellMar>
        </w:tblPrEx>
        <w:trPr>
          <w:trHeight w:val="187" w:hRule="atLeast"/>
        </w:trPr>
        <w:tc>
          <w:tcPr>
            <w:tcW w:w="1007" w:type="pct"/>
            <w:vMerge w:val="continue"/>
            <w:tcBorders>
              <w:top w:val="single" w:color="000000" w:sz="8" w:space="0"/>
              <w:left w:val="single" w:color="000000" w:sz="8" w:space="0"/>
              <w:bottom w:val="single" w:color="000000" w:sz="8" w:space="0"/>
              <w:right w:val="single" w:color="000000" w:sz="8" w:space="0"/>
            </w:tcBorders>
            <w:shd w:val="clear" w:color="auto" w:fill="auto"/>
            <w:noWrap w:val="0"/>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2410"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left"/>
              <w:textAlignment w:val="baseline"/>
              <w:rPr>
                <w:rFonts w:ascii="楷体" w:hAnsi="楷体" w:eastAsia="楷体" w:cs="宋体"/>
                <w:sz w:val="24"/>
                <w:szCs w:val="32"/>
              </w:rPr>
            </w:pPr>
            <w:r>
              <w:rPr>
                <w:rFonts w:hint="eastAsia" w:ascii="楷体" w:hAnsi="楷体" w:eastAsia="楷体" w:cs="宋体"/>
                <w:sz w:val="24"/>
                <w:szCs w:val="32"/>
              </w:rPr>
              <w:t>……</w:t>
            </w: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c>
          <w:tcPr>
            <w:tcW w:w="528" w:type="pct"/>
            <w:tcBorders>
              <w:top w:val="single" w:color="000000" w:sz="8" w:space="0"/>
              <w:left w:val="single" w:color="000000" w:sz="8" w:space="0"/>
              <w:bottom w:val="single" w:color="000000" w:sz="8" w:space="0"/>
              <w:right w:val="single" w:color="000000" w:sz="8" w:space="0"/>
            </w:tcBorders>
            <w:shd w:val="clear" w:color="auto" w:fill="auto"/>
            <w:noWrap w:val="0"/>
            <w:tcMar>
              <w:top w:w="25" w:type="dxa"/>
              <w:left w:w="25" w:type="dxa"/>
              <w:bottom w:w="25" w:type="dxa"/>
              <w:right w:w="25" w:type="dxa"/>
            </w:tcMar>
            <w:vAlign w:val="center"/>
          </w:tcPr>
          <w:p>
            <w:pPr>
              <w:widowControl/>
              <w:shd w:val="clear" w:color="auto" w:fill="FFFFFF"/>
              <w:adjustRightInd w:val="0"/>
              <w:snapToGrid w:val="0"/>
              <w:jc w:val="center"/>
              <w:textAlignment w:val="baseline"/>
              <w:rPr>
                <w:rFonts w:ascii="楷体" w:hAnsi="楷体" w:eastAsia="楷体" w:cs="宋体"/>
                <w:sz w:val="24"/>
                <w:szCs w:val="32"/>
              </w:rPr>
            </w:pPr>
          </w:p>
        </w:tc>
      </w:tr>
    </w:tbl>
    <w:p>
      <w:pPr>
        <w:widowControl/>
        <w:shd w:val="clear" w:color="auto" w:fill="FFFFFF"/>
        <w:adjustRightInd w:val="0"/>
        <w:snapToGrid w:val="0"/>
        <w:jc w:val="center"/>
        <w:textAlignment w:val="baseline"/>
        <w:rPr>
          <w:rFonts w:ascii="楷体" w:hAnsi="楷体" w:eastAsia="楷体" w:cs="宋体"/>
          <w:sz w:val="32"/>
          <w:szCs w:val="32"/>
        </w:rPr>
      </w:pPr>
    </w:p>
    <w:p>
      <w:pPr>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〔项目线路走向</w:t>
      </w:r>
      <w:r>
        <w:rPr>
          <w:rFonts w:ascii="仿宋_GB2312" w:hAnsi="宋体" w:eastAsia="仿宋_GB2312" w:cs="宋体"/>
          <w:kern w:val="0"/>
          <w:sz w:val="32"/>
          <w:szCs w:val="32"/>
        </w:rPr>
        <w:t>/</w:t>
      </w:r>
      <w:r>
        <w:rPr>
          <w:rFonts w:hint="eastAsia" w:ascii="仿宋_GB2312" w:hAnsi="宋体" w:eastAsia="仿宋_GB2312" w:cs="宋体"/>
          <w:kern w:val="0"/>
          <w:sz w:val="32"/>
          <w:szCs w:val="32"/>
        </w:rPr>
        <w:t>区位四至表述〕</w:t>
      </w:r>
      <w:r>
        <w:rPr>
          <w:rFonts w:hint="eastAsia" w:ascii="仿宋_GB2312" w:hAnsi="仿宋_GB2312" w:eastAsia="仿宋_GB2312" w:cs="仿宋_GB2312"/>
          <w:sz w:val="32"/>
          <w:szCs w:val="32"/>
        </w:rPr>
        <w:t>项目起点为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乡（镇、街），途经</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乡（镇、街），终至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乡（镇、街）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项目位于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乡（镇、街），东至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，西至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，南至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，北至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三、项目申请用地情况</w:t>
      </w:r>
    </w:p>
    <w:p>
      <w:pPr>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〔项目用地现状分类〕</w:t>
      </w:r>
      <w:r>
        <w:rPr>
          <w:rFonts w:hint="eastAsia" w:ascii="仿宋_GB2312" w:hAnsi="仿宋_GB2312" w:eastAsia="仿宋_GB2312" w:cs="仿宋_GB2312"/>
          <w:sz w:val="32"/>
          <w:szCs w:val="32"/>
        </w:rPr>
        <w:t>项目申请用地范围涉及永久基本农田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项目申请用地范围不涉及永久基本农田，但淹没区涉及永久基本农田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w:t>
      </w:r>
    </w:p>
    <w:p>
      <w:pPr>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经与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年度（申请用地组卷时最新）国土变更调查成果套合，项目申请用地范围内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年度国土变更调查成果现状情况为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总面积</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公顷，其中，农用地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公顷（耕地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公顷），建设用地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公顷，未利用地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公顷。与该项目实际申请用地情况一致。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与该项目实际申请用地情况不一致，具体情况如下：（如不一致，根据项目实际参考下列情况说明不一致原因）</w:t>
      </w:r>
    </w:p>
    <w:p>
      <w:pPr>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年度国土变更调查现状成果中存在无合法来源建设用地。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年度国土变更调查现状成果中建设用地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公顷因无合法来源，按照建设占用时的国土变更调查（土地变更调查）的实际地类报批，涉及农用地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公顷（其中耕地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公顷）、未利用地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公顷。</w:t>
      </w:r>
    </w:p>
    <w:p>
      <w:pPr>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二是其他情况，除上述情况外，项目申请用地范围内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年度国土变更调查现状成果中还存在其它需要说明的情况</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具体原因，涉及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年度国土变更调查现状成果中地类、面积；</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具体原因，</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〔项目实际申请用地情况〕</w:t>
      </w:r>
      <w:r>
        <w:rPr>
          <w:rFonts w:hint="eastAsia" w:ascii="仿宋_GB2312" w:hAnsi="仿宋_GB2312" w:eastAsia="仿宋_GB2312" w:cs="仿宋_GB2312"/>
          <w:bCs/>
          <w:kern w:val="0"/>
          <w:sz w:val="32"/>
          <w:szCs w:val="32"/>
        </w:rPr>
        <w:t>综上，该项目总用地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公顷，拟使用国有建设用地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公顷（此部分未申报），水利水电项目淹没区用地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公顷（此部分未申报），实际申请用地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公顷，其中，农用地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公顷（耕地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公顷，涉及永久基本农田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公顷、未利用地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注：计算永久基本农田面积，应采用</w:t>
      </w:r>
      <w:r>
        <w:rPr>
          <w:rFonts w:ascii="楷体" w:hAnsi="楷体" w:eastAsia="楷体" w:cs="宋体"/>
          <w:sz w:val="32"/>
          <w:szCs w:val="32"/>
        </w:rPr>
        <w:t>“</w:t>
      </w:r>
      <w:r>
        <w:rPr>
          <w:rFonts w:hint="eastAsia" w:ascii="楷体" w:hAnsi="楷体" w:eastAsia="楷体" w:cs="宋体"/>
          <w:sz w:val="32"/>
          <w:szCs w:val="32"/>
        </w:rPr>
        <w:t>椭球法</w:t>
      </w:r>
      <w:r>
        <w:rPr>
          <w:rFonts w:ascii="楷体" w:hAnsi="楷体" w:eastAsia="楷体" w:cs="宋体"/>
          <w:sz w:val="32"/>
          <w:szCs w:val="32"/>
        </w:rPr>
        <w:t>”</w:t>
      </w:r>
      <w:r>
        <w:rPr>
          <w:rFonts w:hint="eastAsia" w:ascii="楷体" w:hAnsi="楷体" w:eastAsia="楷体" w:cs="宋体"/>
          <w:sz w:val="32"/>
          <w:szCs w:val="32"/>
        </w:rPr>
        <w:t>计算净面积，要核实涉及永久基本农田面积与自然资源部计算数据之间的差值；项目拟用地现状地类情况，要注意在新申请用地中去除原有国有建设用地，特别是已办完征地手续，但尚未开工建设的交叉工程；涉及核减用地的，要详细表述项目原申请地类情况，核减地类情况，核减后地类情况。</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〔分行政区描述申请用地情况〕</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市总用地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公顷，拟使用原有国有建设用地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公顷（此部分未申报），新申请用地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公顷，其中，土地利用现状情况为农用地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公顷（耕地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公顷，涉及永久基本农田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公顷，未利用地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县总用地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公顷，拟使用原有国有建设用地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公顷（此部分未申报），新申请用地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公顷，其中，农用地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公顷（耕地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公顷，涉及永久基本农田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公顷，未利用地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县总用地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公顷，拟使用原有国有建设用地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公顷（此部分未申报），新申请用地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公顷，其中，农用地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公顷（耕地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公顷，涉及永久基本农田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公顷，未利用地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〔项目土地用途调整情况〕</w:t>
      </w:r>
      <w:r>
        <w:rPr>
          <w:rFonts w:hint="eastAsia" w:ascii="仿宋_GB2312" w:hAnsi="仿宋_GB2312" w:eastAsia="仿宋_GB2312" w:cs="仿宋_GB2312"/>
          <w:bCs/>
          <w:kern w:val="0"/>
          <w:sz w:val="32"/>
          <w:szCs w:val="32"/>
        </w:rPr>
        <w:t>项目符合《土地管理法》第二十五条允许调整土地用途情形，相关县（市、区）将按现行管控规则和相关规定在用地报批前完成规划土地用途调整方案、土地用途调整听证、对规划实施影响评估和专家论证等工作。</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〔项目涉及</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三区三线</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和自然保护区情况〕</w:t>
      </w:r>
      <w:r>
        <w:rPr>
          <w:rFonts w:hint="eastAsia" w:ascii="仿宋_GB2312" w:hAnsi="仿宋_GB2312" w:eastAsia="仿宋_GB2312" w:cs="仿宋_GB2312"/>
          <w:bCs/>
          <w:kern w:val="0"/>
          <w:sz w:val="32"/>
          <w:szCs w:val="32"/>
        </w:rPr>
        <w:t>项目涉及城镇开发边界、永久基本农田、生态保护红线、自然保护区情况。</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注：项目用地选址如果涉及城镇开发边界、永久基本农田、生态保护红线、自然保护区，需说明项目满足相关占用条件要求。</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〔项目踏勘论证情况〕</w:t>
      </w:r>
      <w:r>
        <w:rPr>
          <w:rFonts w:hint="eastAsia" w:ascii="仿宋_GB2312" w:hAnsi="仿宋_GB2312" w:eastAsia="仿宋_GB2312" w:cs="仿宋_GB2312"/>
          <w:bCs/>
          <w:kern w:val="0"/>
          <w:sz w:val="32"/>
          <w:szCs w:val="32"/>
        </w:rPr>
        <w:t>项目涉及占用永久基本农田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涉及占用耕地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公顷，占总用地面积的</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，按照现场踏勘工作有关要求，我局已对项目选址用地情况组织开展现场踏勘论证，并出具了现场踏勘意见，现场踏勘认为项目用地选址符合节约集约用地和保护耕地的原则，占用永久基本农田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耕地是必要的、合理的。</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注：涉及占用永久基本农田的；线性工程占用耕地面积超过</w:t>
      </w:r>
      <w:r>
        <w:rPr>
          <w:rFonts w:ascii="楷体" w:hAnsi="楷体" w:eastAsia="楷体" w:cs="宋体"/>
          <w:sz w:val="32"/>
          <w:szCs w:val="32"/>
        </w:rPr>
        <w:t>100</w:t>
      </w:r>
      <w:r>
        <w:rPr>
          <w:rFonts w:hint="eastAsia" w:ascii="楷体" w:hAnsi="楷体" w:eastAsia="楷体" w:cs="宋体"/>
          <w:sz w:val="32"/>
          <w:szCs w:val="32"/>
        </w:rPr>
        <w:t>公顷、块状工程占用耕地面积超过</w:t>
      </w:r>
      <w:r>
        <w:rPr>
          <w:rFonts w:ascii="楷体" w:hAnsi="楷体" w:eastAsia="楷体" w:cs="宋体"/>
          <w:sz w:val="32"/>
          <w:szCs w:val="32"/>
        </w:rPr>
        <w:t>70</w:t>
      </w:r>
      <w:r>
        <w:rPr>
          <w:rFonts w:hint="eastAsia" w:ascii="楷体" w:hAnsi="楷体" w:eastAsia="楷体" w:cs="宋体"/>
          <w:sz w:val="32"/>
          <w:szCs w:val="32"/>
        </w:rPr>
        <w:t>公顷或占比耕地达到用地总面积</w:t>
      </w:r>
      <w:r>
        <w:rPr>
          <w:rFonts w:ascii="楷体" w:hAnsi="楷体" w:eastAsia="楷体" w:cs="宋体"/>
          <w:sz w:val="32"/>
          <w:szCs w:val="32"/>
        </w:rPr>
        <w:t>50%</w:t>
      </w:r>
      <w:r>
        <w:rPr>
          <w:rFonts w:hint="eastAsia" w:ascii="楷体" w:hAnsi="楷体" w:eastAsia="楷体" w:cs="宋体"/>
          <w:sz w:val="32"/>
          <w:szCs w:val="32"/>
        </w:rPr>
        <w:t>以上的建设项目（不包括水库类项目），应由省级自然资源主管部门组织各相应市级自然资源主管部门实施现场踏勘论证。</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kern w:val="0"/>
          <w:sz w:val="32"/>
          <w:szCs w:val="32"/>
        </w:rPr>
        <w:t>〔项目耕地占补平衡情况〕</w:t>
      </w:r>
      <w:r>
        <w:rPr>
          <w:rFonts w:hint="eastAsia" w:ascii="仿宋_GB2312" w:hAnsi="仿宋_GB2312" w:eastAsia="仿宋_GB2312" w:cs="仿宋_GB2312"/>
          <w:bCs/>
          <w:kern w:val="0"/>
          <w:sz w:val="32"/>
          <w:szCs w:val="32"/>
        </w:rPr>
        <w:t>项目占用我市耕地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公顷（其中永久基本农田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公顷），我市补充耕地储备库指标充足，可在本区域内落实耕地占补平衡</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我市补充耕地储备库指标不足，将采取自行组织补充或省域内指标调剂落实补充耕地的方式。我局承诺在农用地转用报批时落实占补平衡。</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四、项目占用永久基本农田论证情况</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项目不涉及占用永久基本农田。</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项目涉及占用永久基本农田，项目总体涉及永久基本农田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公顷，各功能分区分别涉及永久基本农田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ascii="仿宋_GB2312" w:hAnsi="仿宋_GB2312" w:eastAsia="仿宋_GB2312" w:cs="仿宋_GB2312"/>
          <w:bCs/>
          <w:kern w:val="0"/>
          <w:sz w:val="32"/>
          <w:szCs w:val="32"/>
        </w:rPr>
        <w:t>1.</w:t>
      </w:r>
      <w:r>
        <w:rPr>
          <w:rFonts w:hint="eastAsia" w:ascii="仿宋_GB2312" w:hAnsi="仿宋_GB2312" w:eastAsia="仿宋_GB2312" w:cs="仿宋_GB2312"/>
          <w:bCs/>
          <w:kern w:val="0"/>
          <w:sz w:val="32"/>
          <w:szCs w:val="32"/>
        </w:rPr>
        <w:t>项目占用的必要性和合理性分析</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w:t>
      </w:r>
      <w:r>
        <w:rPr>
          <w:rFonts w:ascii="仿宋_GB2312" w:hAnsi="仿宋_GB2312" w:eastAsia="仿宋_GB2312" w:cs="仿宋_GB2312"/>
          <w:bCs/>
          <w:kern w:val="0"/>
          <w:sz w:val="32"/>
          <w:szCs w:val="32"/>
        </w:rPr>
        <w:t>1</w:t>
      </w:r>
      <w:r>
        <w:rPr>
          <w:rFonts w:hint="eastAsia" w:ascii="仿宋_GB2312" w:hAnsi="仿宋_GB2312" w:eastAsia="仿宋_GB2312" w:cs="仿宋_GB2312"/>
          <w:bCs/>
          <w:kern w:val="0"/>
          <w:sz w:val="32"/>
          <w:szCs w:val="32"/>
        </w:rPr>
        <w:t>）总体及各功能分区占用的必要性分析</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以国土空间规划“一张图”中的永久基本农田分布图为底图，详细表述（图文并茂）项目大体方位选择和走廊带周边耕地和永久基本农田空间布局和保护率，用以说明推荐方案总体占用耕地和永久基本农田的必要性。</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注：项目占用永久基本农田的必要性和合理性分析，必须以国土空间规划</w:t>
      </w:r>
      <w:r>
        <w:rPr>
          <w:rFonts w:ascii="楷体" w:hAnsi="楷体" w:eastAsia="楷体" w:cs="宋体"/>
          <w:sz w:val="32"/>
          <w:szCs w:val="32"/>
        </w:rPr>
        <w:t>“</w:t>
      </w:r>
      <w:r>
        <w:rPr>
          <w:rFonts w:hint="eastAsia" w:ascii="楷体" w:hAnsi="楷体" w:eastAsia="楷体" w:cs="宋体"/>
          <w:sz w:val="32"/>
          <w:szCs w:val="32"/>
        </w:rPr>
        <w:t>一张图</w:t>
      </w:r>
      <w:r>
        <w:rPr>
          <w:rFonts w:ascii="楷体" w:hAnsi="楷体" w:eastAsia="楷体" w:cs="宋体"/>
          <w:sz w:val="32"/>
          <w:szCs w:val="32"/>
        </w:rPr>
        <w:t>”</w:t>
      </w:r>
      <w:r>
        <w:rPr>
          <w:rFonts w:hint="eastAsia" w:ascii="楷体" w:hAnsi="楷体" w:eastAsia="楷体" w:cs="宋体"/>
          <w:sz w:val="32"/>
          <w:szCs w:val="32"/>
        </w:rPr>
        <w:t>中的永久基本农田分布图为底图分析，首先应分析项目建设的必要性，再分析项目走廊带或者大体位置选择对永久基本农田的不可避让性，再分析项目比选方案减少的永久基本农田占用。</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w:t>
      </w:r>
      <w:r>
        <w:rPr>
          <w:rFonts w:ascii="仿宋_GB2312" w:hAnsi="仿宋_GB2312" w:eastAsia="仿宋_GB2312" w:cs="仿宋_GB2312"/>
          <w:bCs/>
          <w:kern w:val="0"/>
          <w:sz w:val="32"/>
          <w:szCs w:val="32"/>
        </w:rPr>
        <w:t>2</w:t>
      </w:r>
      <w:r>
        <w:rPr>
          <w:rFonts w:hint="eastAsia" w:ascii="仿宋_GB2312" w:hAnsi="仿宋_GB2312" w:eastAsia="仿宋_GB2312" w:cs="仿宋_GB2312"/>
          <w:bCs/>
          <w:kern w:val="0"/>
          <w:sz w:val="32"/>
          <w:szCs w:val="32"/>
        </w:rPr>
        <w:t>）总体及各功能分区占用的合理性分析</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结合项目实际，综合地形地貌、地质条件、工程布局等因素，在满足现行技术标准的情况下，以国土空间规划</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一张图</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中的永久基本农田分布图为底图，详细表述（图文并茂）项目总体及各功能分区占用情况，以及采取了哪些具体的工程技术措施避让或减少了耕地和永久基本农田的占用，用以说明占用耕地和永久基本农田规模的合理性。</w:t>
      </w:r>
    </w:p>
    <w:p>
      <w:pPr>
        <w:widowControl/>
        <w:shd w:val="clear" w:color="auto" w:fill="FFFFFF"/>
        <w:adjustRightInd w:val="0"/>
        <w:snapToGrid w:val="0"/>
        <w:spacing w:line="560" w:lineRule="exact"/>
        <w:ind w:firstLine="640" w:firstLineChars="200"/>
        <w:textAlignment w:val="baseline"/>
        <w:rPr>
          <w:rFonts w:ascii="楷体" w:hAnsi="楷体" w:eastAsia="楷体" w:cs="宋体"/>
          <w:sz w:val="32"/>
          <w:szCs w:val="32"/>
        </w:rPr>
      </w:pPr>
      <w:r>
        <w:rPr>
          <w:rFonts w:hint="eastAsia" w:ascii="楷体" w:hAnsi="楷体" w:eastAsia="楷体" w:cs="宋体"/>
          <w:sz w:val="32"/>
          <w:szCs w:val="32"/>
        </w:rPr>
        <w:t>注：建设项目所采取的减少永久基本农田的措施，必须是该项目实际采取的具体工程技术措施。市局应逐项明确项目功能分区占用永久基本农田的合理性，针对占用不合理的提出了减少占用的意见建议，项目建设单位也通过相应的工程技术措施核减了部分永久基本农田占用，分别是：</w:t>
      </w:r>
      <w:r>
        <w:rPr>
          <w:rFonts w:ascii="楷体" w:hAnsi="楷体" w:eastAsia="楷体" w:cs="宋体"/>
          <w:sz w:val="32"/>
          <w:szCs w:val="32"/>
        </w:rPr>
        <w:t>**</w:t>
      </w:r>
      <w:r>
        <w:rPr>
          <w:rFonts w:hint="eastAsia" w:ascii="楷体" w:hAnsi="楷体" w:eastAsia="楷体" w:cs="宋体"/>
          <w:sz w:val="32"/>
          <w:szCs w:val="32"/>
        </w:rPr>
        <w:t>功能区核减占用永久基本农田</w:t>
      </w:r>
      <w:r>
        <w:rPr>
          <w:rFonts w:ascii="楷体" w:hAnsi="楷体" w:eastAsia="楷体" w:cs="宋体"/>
          <w:sz w:val="32"/>
          <w:szCs w:val="32"/>
        </w:rPr>
        <w:t>**</w:t>
      </w:r>
      <w:r>
        <w:rPr>
          <w:rFonts w:hint="eastAsia" w:ascii="楷体" w:hAnsi="楷体" w:eastAsia="楷体" w:cs="宋体"/>
          <w:sz w:val="32"/>
          <w:szCs w:val="32"/>
        </w:rPr>
        <w:t>公顷、</w:t>
      </w:r>
      <w:r>
        <w:rPr>
          <w:rFonts w:ascii="楷体" w:hAnsi="楷体" w:eastAsia="楷体" w:cs="宋体"/>
          <w:sz w:val="32"/>
          <w:szCs w:val="32"/>
        </w:rPr>
        <w:t>**</w:t>
      </w:r>
      <w:r>
        <w:rPr>
          <w:rFonts w:hint="eastAsia" w:ascii="楷体" w:hAnsi="楷体" w:eastAsia="楷体" w:cs="宋体"/>
          <w:sz w:val="32"/>
          <w:szCs w:val="32"/>
        </w:rPr>
        <w:t>功能区核减占用永久基本农田</w:t>
      </w:r>
      <w:r>
        <w:rPr>
          <w:rFonts w:ascii="楷体" w:hAnsi="楷体" w:eastAsia="楷体" w:cs="宋体"/>
          <w:sz w:val="32"/>
          <w:szCs w:val="32"/>
        </w:rPr>
        <w:t>**</w:t>
      </w:r>
      <w:r>
        <w:rPr>
          <w:rFonts w:hint="eastAsia" w:ascii="楷体" w:hAnsi="楷体" w:eastAsia="楷体" w:cs="宋体"/>
          <w:sz w:val="32"/>
          <w:szCs w:val="32"/>
        </w:rPr>
        <w:t>公顷。</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ascii="仿宋_GB2312" w:hAnsi="仿宋_GB2312" w:eastAsia="仿宋_GB2312" w:cs="仿宋_GB2312"/>
          <w:bCs/>
          <w:kern w:val="0"/>
          <w:sz w:val="32"/>
          <w:szCs w:val="32"/>
        </w:rPr>
        <w:t>2.</w:t>
      </w:r>
      <w:r>
        <w:rPr>
          <w:rFonts w:hint="eastAsia" w:ascii="仿宋_GB2312" w:hAnsi="仿宋_GB2312" w:eastAsia="仿宋_GB2312" w:cs="仿宋_GB2312"/>
          <w:bCs/>
          <w:kern w:val="0"/>
          <w:sz w:val="32"/>
          <w:szCs w:val="32"/>
        </w:rPr>
        <w:t>永久基本农田占用情况分析</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详细表述（图文并茂）推荐方案占用的永久基本农田图斑个数、面积、质量等级等情况，占用图斑较多的需列表说明。</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ascii="仿宋_GB2312" w:hAnsi="仿宋_GB2312" w:eastAsia="仿宋_GB2312" w:cs="仿宋_GB2312"/>
          <w:bCs/>
          <w:kern w:val="0"/>
          <w:sz w:val="32"/>
          <w:szCs w:val="32"/>
        </w:rPr>
        <w:t>3.</w:t>
      </w:r>
      <w:r>
        <w:rPr>
          <w:rFonts w:hint="eastAsia" w:ascii="仿宋_GB2312" w:hAnsi="仿宋_GB2312" w:eastAsia="仿宋_GB2312" w:cs="仿宋_GB2312"/>
          <w:bCs/>
          <w:kern w:val="0"/>
          <w:sz w:val="32"/>
          <w:szCs w:val="32"/>
        </w:rPr>
        <w:t>永久基本农田补划情况</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简单表述永久基本农田补划潜力情况。在农用地转用及土地征收阶段，将优先从国土空间预留位置选取优质耕地划分为该项目的永久基本农田补划地块，原预留位置优质耕地面积或等级不足时再从周边选取优质耕地作为永久基本农田补划地块，确保永久基本农田面积不减少、质量不降低。</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五、项目符合土地使用标准情况</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〔供地政策〕依据国家产业政策和《限制用地项目目录》《禁止用地项目目录》等规定，项目不属于限制用地和禁止用地的项目，符合国家产业政策和供地政策。</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项目为新建</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改建</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扩建工程，用地总面积为</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公顷，其中项目原有用地面积</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公顷，新增用地面积</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情形一：</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〔有土地使用标准的项目〕项目各功能分区用地情况：</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工程用地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公顷，拟使用原有国有建设用地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公顷，新申请用地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公顷（占用永久基本农田情况）；</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工程用地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公顷，拟使用原有国有建设用地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公顷，新申请用地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公顷（占用永久基本农田情况）等。</w:t>
      </w:r>
    </w:p>
    <w:p>
      <w:pPr>
        <w:widowControl/>
        <w:shd w:val="clear" w:color="auto" w:fill="FFFFFF"/>
        <w:adjustRightInd w:val="0"/>
        <w:snapToGrid w:val="0"/>
        <w:spacing w:line="560" w:lineRule="exact"/>
        <w:ind w:firstLine="640" w:firstLineChars="200"/>
        <w:textAlignment w:val="baseline"/>
        <w:rPr>
          <w:rFonts w:ascii="宋体" w:hAnsi="宋体" w:cs="宋体"/>
          <w:sz w:val="32"/>
          <w:szCs w:val="32"/>
        </w:rPr>
      </w:pPr>
      <w:r>
        <w:rPr>
          <w:rFonts w:hint="eastAsia" w:ascii="楷体_GB2312" w:eastAsia="楷体_GB2312" w:cs="楷体_GB2312"/>
          <w:sz w:val="32"/>
          <w:szCs w:val="32"/>
        </w:rPr>
        <w:t>注：项目总体用地及各功能分区设置核实情况，要核实项目各功能分区设置的合理性，功能区设置不合理的要予以核减，确实无法核减的需要立项同级的行业主管部门出具意见说明。项目用地指标涉及系数调整的，需按行业部门出具的意见为准。公路类建设项目，涉及跨越城镇开发边界的，需要区分城市道路和等级公路用地标准。</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〔符合标准的情况〕详细表述（表格形式）项目总体及各功能分区用地测算依据、计算过程、对比情况、最终结果。</w:t>
      </w:r>
    </w:p>
    <w:p>
      <w:pPr>
        <w:widowControl/>
        <w:shd w:val="clear" w:color="auto" w:fill="FFFFFF"/>
        <w:adjustRightInd w:val="0"/>
        <w:snapToGrid w:val="0"/>
        <w:spacing w:line="560" w:lineRule="exact"/>
        <w:ind w:firstLine="640" w:firstLineChars="200"/>
        <w:textAlignment w:val="baseline"/>
        <w:rPr>
          <w:rFonts w:ascii="楷体_GB2312" w:eastAsia="楷体_GB2312" w:cs="楷体_GB2312"/>
          <w:sz w:val="32"/>
          <w:szCs w:val="32"/>
        </w:rPr>
      </w:pPr>
      <w:r>
        <w:rPr>
          <w:rFonts w:hint="eastAsia" w:ascii="楷体_GB2312" w:eastAsia="楷体_GB2312" w:cs="楷体_GB2312"/>
          <w:sz w:val="32"/>
          <w:szCs w:val="32"/>
        </w:rPr>
        <w:t>注：建设项目在满足实际用地需求的前提下，应尽量选择用地控制指标的中、低值，用以减少占地。</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〔超标准的情况〕项目因安全生产</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地形地貌</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工艺技术特殊要求，确需突破土地使用标准确定的规模和功能分区。详细表述超标准的原因和申请用地的依据；详细表述项目采用的工艺流程、施工工艺、技术和设备的先进性；详细表述项目总体及各功能分区用地面积计算过程，显示指标对比情况，确保超出标准规模合理。同时，需要行业主管部门出具意见的应取得相关支持文件。</w:t>
      </w:r>
      <w:r>
        <w:rPr>
          <w:rFonts w:ascii="仿宋_GB2312" w:hAnsi="仿宋_GB2312" w:eastAsia="仿宋_GB2312" w:cs="仿宋_GB2312"/>
          <w:bCs/>
          <w:kern w:val="0"/>
          <w:sz w:val="32"/>
          <w:szCs w:val="32"/>
        </w:rPr>
        <w:t xml:space="preserve"> </w:t>
      </w:r>
    </w:p>
    <w:p>
      <w:pPr>
        <w:widowControl/>
        <w:shd w:val="clear" w:color="auto" w:fill="FFFFFF"/>
        <w:adjustRightInd w:val="0"/>
        <w:snapToGrid w:val="0"/>
        <w:spacing w:line="560" w:lineRule="exact"/>
        <w:ind w:firstLine="640" w:firstLineChars="200"/>
        <w:textAlignment w:val="baseline"/>
        <w:rPr>
          <w:rFonts w:ascii="楷体_GB2312" w:eastAsia="楷体_GB2312" w:cs="楷体_GB2312"/>
          <w:sz w:val="32"/>
          <w:szCs w:val="32"/>
        </w:rPr>
      </w:pPr>
      <w:r>
        <w:rPr>
          <w:rFonts w:hint="eastAsia" w:ascii="楷体_GB2312" w:eastAsia="楷体_GB2312" w:cs="楷体_GB2312"/>
          <w:sz w:val="32"/>
          <w:szCs w:val="32"/>
        </w:rPr>
        <w:t>注：建设项目必须是因为安全生产、地形地貌、工艺技术等特殊要求，方可突破土地使用标准确定的规模和功能分区。公路项目设置的互通立体交叉工程用地，超过《公路工程项目建设用地指标》有关间距规定的，应充分论证并取得省级以上交通主管部门出具的意见。</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〔其他〕涉及项目违法动工建设的，说明已建成各功能分区用地情况。</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〔审核结论〕我局审核同意项目超标准用地，审核认为，项目用地节约集约，此项目与我省（市、区）节地案例库内同类项目对比，单位用地规模位于</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位。项目节约集约用地已达到同行业先进水平</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项目节约集约用地因</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特殊情况未达到同行业先进水平。（可附相关论证材料）。存在超标准用地功能分区为安全生产</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地形地貌</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工艺技术特殊要求。</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情形二：〔无标准的情况〕</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对于国家和地方未颁布土地使用标准和建设标准的建设项目，应考虑安全生产、工程运行安全等因素，结合行业专业技术设计规范、建设规范等，详细表述按照规模、功能分区等是否体现了项目所在区域的地形地貌特征；是否合理利用地上地下空间或者科学、合理提高项目投资强度、容积率、建筑密度等；是否采取了先进的项目工艺流程、施工工艺和技术；对存在远期预留用地的项目，是否可以分期报批，避免低效、闲置；是否采取措施少占或不占耕地、避让永久基本农田；是否为降低建设成本而粗放用地；是否设置了不必要的功能分区；是否存在“搭车用地”、多报少用的判断情况，确保项目在保障功能实现、满足规范要求的前提下，尽量减少占地，总体及各功能分区用地合理。</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项目已在《节约集约用地论证分析专章》中对超标准</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无标准情况进行了详细表述，具体内容见《节约集约用地论证分析专章》。</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〔其他〕涉及项目违法动工建设的，说明已建成各功能分区用地情况。</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〔审核结论〕我局审核认为：项目规模、功能分区等体现了项目所在区域的地形地貌特征，没有设置不必要的功能分区，不存在</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搭车用地</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、多报少用和远期预留用地以及为降低建设成本而粗放用地。此项目与我省（市、区）节地案例库内同类项目对比，单位用地规模位于</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位。项目节约集约用地已达到同行业先进水平</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项目节约集约用地因</w:t>
      </w:r>
      <w:r>
        <w:rPr>
          <w:rFonts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rPr>
        <w:t>特殊情况未达到同行业先进水平。（可附相关论证材料）</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六、落实用地相关费用情况</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项目是否涉及土地复垦。建设单位是否按规定将补充耕地、征地补偿、土地复垦等相关费用足额纳入项目工程概算，占用永久基本农田的缴费标准是否按照当地耕地开垦费最高标准的两倍执行。同时，承诺做好土地复垦、征地补偿安置、耕地占补平衡等相关工作。</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七、关于其他问题的说明</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项目涉及其他生态敏感区情况〕项目是否涉及国家公园、风景名胜区、地质公园、海洋特别保护区（海洋公园）、森林公园、国有林场、国有苗圃、自然遗产、自然与文化遗产情况；是否涉及省级以上湿地公园、重要湿地，是否涉及一般湿地，如涉及一般湿地市县林业主管部门要提出是否同意的意见；是否涉及一级保护林地，如涉及明确表述项目符合调整林地保护等级的条件。</w:t>
      </w:r>
    </w:p>
    <w:p>
      <w:pPr>
        <w:widowControl/>
        <w:shd w:val="clear" w:color="auto" w:fill="FFFFFF"/>
        <w:adjustRightInd w:val="0"/>
        <w:snapToGrid w:val="0"/>
        <w:spacing w:line="560" w:lineRule="exact"/>
        <w:ind w:firstLine="640" w:firstLineChars="200"/>
        <w:textAlignment w:val="baseline"/>
        <w:rPr>
          <w:rFonts w:ascii="楷体_GB2312" w:eastAsia="楷体_GB2312" w:cs="楷体_GB2312"/>
          <w:sz w:val="32"/>
          <w:szCs w:val="32"/>
        </w:rPr>
      </w:pPr>
      <w:r>
        <w:rPr>
          <w:rFonts w:hint="eastAsia" w:ascii="楷体_GB2312" w:eastAsia="楷体_GB2312" w:cs="楷体_GB2312"/>
          <w:sz w:val="32"/>
          <w:szCs w:val="32"/>
        </w:rPr>
        <w:t>注：如果建设项目确实涉及上述生态敏感区，在申请办理《建设项目用地预审与选址意见书》时必须取得相应管理机构初步同意的意见。</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〔项目核减用地情况〕该项目在市、县级审查中未核减用地。</w:t>
      </w:r>
      <w:r>
        <w:rPr>
          <w:rFonts w:ascii="仿宋_GB2312" w:eastAsia="仿宋_GB2312" w:cs="仿宋_GB2312"/>
          <w:sz w:val="32"/>
          <w:szCs w:val="32"/>
        </w:rPr>
        <w:t>/</w:t>
      </w:r>
      <w:r>
        <w:rPr>
          <w:rFonts w:hint="eastAsia" w:ascii="仿宋_GB2312" w:eastAsia="仿宋_GB2312" w:cs="仿宋_GB2312"/>
          <w:sz w:val="32"/>
          <w:szCs w:val="32"/>
        </w:rPr>
        <w:t>该项目在市、县级审查中核减用地</w:t>
      </w:r>
      <w:r>
        <w:rPr>
          <w:rFonts w:ascii="仿宋_GB2312" w:eastAsia="仿宋_GB2312" w:cs="仿宋_GB2312"/>
          <w:sz w:val="32"/>
          <w:szCs w:val="32"/>
        </w:rPr>
        <w:t>**</w:t>
      </w:r>
      <w:r>
        <w:rPr>
          <w:rFonts w:hint="eastAsia" w:ascii="仿宋_GB2312" w:eastAsia="仿宋_GB2312" w:cs="仿宋_GB2312"/>
          <w:sz w:val="32"/>
          <w:szCs w:val="32"/>
        </w:rPr>
        <w:t>公顷（耕地</w:t>
      </w:r>
      <w:r>
        <w:rPr>
          <w:rFonts w:ascii="仿宋_GB2312" w:eastAsia="仿宋_GB2312" w:cs="仿宋_GB2312"/>
          <w:sz w:val="32"/>
          <w:szCs w:val="32"/>
        </w:rPr>
        <w:t>**</w:t>
      </w:r>
      <w:r>
        <w:rPr>
          <w:rFonts w:hint="eastAsia" w:ascii="仿宋_GB2312" w:eastAsia="仿宋_GB2312" w:cs="仿宋_GB2312"/>
          <w:sz w:val="32"/>
          <w:szCs w:val="32"/>
        </w:rPr>
        <w:t>公顷，永久基本农田</w:t>
      </w:r>
      <w:r>
        <w:rPr>
          <w:rFonts w:ascii="仿宋_GB2312" w:eastAsia="仿宋_GB2312" w:cs="仿宋_GB2312"/>
          <w:sz w:val="32"/>
          <w:szCs w:val="32"/>
        </w:rPr>
        <w:t>**</w:t>
      </w:r>
      <w:r>
        <w:rPr>
          <w:rFonts w:hint="eastAsia" w:ascii="仿宋_GB2312" w:eastAsia="仿宋_GB2312" w:cs="仿宋_GB2312"/>
          <w:sz w:val="32"/>
          <w:szCs w:val="32"/>
        </w:rPr>
        <w:t>公顷），其中市级审查中核减</w:t>
      </w:r>
      <w:r>
        <w:rPr>
          <w:rFonts w:ascii="仿宋_GB2312" w:eastAsia="仿宋_GB2312" w:cs="仿宋_GB2312"/>
          <w:sz w:val="32"/>
          <w:szCs w:val="32"/>
        </w:rPr>
        <w:t>**</w:t>
      </w:r>
      <w:r>
        <w:rPr>
          <w:rFonts w:hint="eastAsia" w:ascii="仿宋_GB2312" w:eastAsia="仿宋_GB2312" w:cs="仿宋_GB2312"/>
          <w:sz w:val="32"/>
          <w:szCs w:val="32"/>
        </w:rPr>
        <w:t>公顷（耕地</w:t>
      </w:r>
      <w:r>
        <w:rPr>
          <w:rFonts w:ascii="仿宋_GB2312" w:eastAsia="仿宋_GB2312" w:cs="仿宋_GB2312"/>
          <w:sz w:val="32"/>
          <w:szCs w:val="32"/>
        </w:rPr>
        <w:t>**</w:t>
      </w:r>
      <w:r>
        <w:rPr>
          <w:rFonts w:hint="eastAsia" w:ascii="仿宋_GB2312" w:eastAsia="仿宋_GB2312" w:cs="仿宋_GB2312"/>
          <w:sz w:val="32"/>
          <w:szCs w:val="32"/>
        </w:rPr>
        <w:t>公顷，永久基本农田</w:t>
      </w:r>
      <w:r>
        <w:rPr>
          <w:rFonts w:ascii="仿宋_GB2312" w:eastAsia="仿宋_GB2312" w:cs="仿宋_GB2312"/>
          <w:sz w:val="32"/>
          <w:szCs w:val="32"/>
        </w:rPr>
        <w:t>**</w:t>
      </w:r>
      <w:r>
        <w:rPr>
          <w:rFonts w:hint="eastAsia" w:ascii="仿宋_GB2312" w:eastAsia="仿宋_GB2312" w:cs="仿宋_GB2312"/>
          <w:sz w:val="32"/>
          <w:szCs w:val="32"/>
        </w:rPr>
        <w:t>公顷），县级审查中核减</w:t>
      </w:r>
      <w:r>
        <w:rPr>
          <w:rFonts w:ascii="仿宋_GB2312" w:eastAsia="仿宋_GB2312" w:cs="仿宋_GB2312"/>
          <w:sz w:val="32"/>
          <w:szCs w:val="32"/>
        </w:rPr>
        <w:t>**</w:t>
      </w:r>
      <w:r>
        <w:rPr>
          <w:rFonts w:hint="eastAsia" w:ascii="仿宋_GB2312" w:eastAsia="仿宋_GB2312" w:cs="仿宋_GB2312"/>
          <w:sz w:val="32"/>
          <w:szCs w:val="32"/>
        </w:rPr>
        <w:t>公顷（耕地</w:t>
      </w:r>
      <w:r>
        <w:rPr>
          <w:rFonts w:ascii="仿宋_GB2312" w:eastAsia="仿宋_GB2312" w:cs="仿宋_GB2312"/>
          <w:sz w:val="32"/>
          <w:szCs w:val="32"/>
        </w:rPr>
        <w:t>**</w:t>
      </w:r>
      <w:r>
        <w:rPr>
          <w:rFonts w:hint="eastAsia" w:ascii="仿宋_GB2312" w:eastAsia="仿宋_GB2312" w:cs="仿宋_GB2312"/>
          <w:sz w:val="32"/>
          <w:szCs w:val="32"/>
        </w:rPr>
        <w:t>公顷，永久基本农田</w:t>
      </w:r>
      <w:r>
        <w:rPr>
          <w:rFonts w:ascii="仿宋_GB2312" w:eastAsia="仿宋_GB2312" w:cs="仿宋_GB2312"/>
          <w:sz w:val="32"/>
          <w:szCs w:val="32"/>
        </w:rPr>
        <w:t>**</w:t>
      </w:r>
      <w:r>
        <w:rPr>
          <w:rFonts w:hint="eastAsia" w:ascii="仿宋_GB2312" w:eastAsia="仿宋_GB2312" w:cs="仿宋_GB2312"/>
          <w:sz w:val="32"/>
          <w:szCs w:val="32"/>
        </w:rPr>
        <w:t>公顷）。</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〔项目违法用地情况〕项目是否涉及违法用地，如涉及应明确表明已对人、对事处理到位（应详细表述违法用地情形，如在生态保护红线内需单独特别说明）。</w:t>
      </w:r>
    </w:p>
    <w:p>
      <w:pPr>
        <w:widowControl/>
        <w:shd w:val="clear" w:color="auto" w:fill="FFFFFF"/>
        <w:adjustRightInd w:val="0"/>
        <w:snapToGrid w:val="0"/>
        <w:spacing w:line="560" w:lineRule="exact"/>
        <w:ind w:firstLine="640" w:firstLineChars="200"/>
        <w:textAlignment w:val="baseline"/>
        <w:rPr>
          <w:rFonts w:ascii="楷体_GB2312" w:eastAsia="楷体_GB2312" w:cs="楷体_GB2312"/>
          <w:sz w:val="32"/>
          <w:szCs w:val="32"/>
        </w:rPr>
      </w:pPr>
      <w:r>
        <w:rPr>
          <w:rFonts w:hint="eastAsia" w:ascii="楷体_GB2312" w:eastAsia="楷体_GB2312" w:cs="楷体_GB2312"/>
          <w:sz w:val="32"/>
          <w:szCs w:val="32"/>
        </w:rPr>
        <w:t>注：项目拟用地范围内，如果涉及经批准存在的临时用地，一定要详细说明有效期等内容；项目拟用地范围内，涉及非该项目主体违法用地的，要写明具体处理情况；涉及罚款处罚的，需说明具体罚款标准和罚款金额；违法用地涉及多个处罚机关、不同罚款标准的，要明确处罚违法用地的总面积、罚款总额；计量单位统一使用</w:t>
      </w:r>
      <w:r>
        <w:rPr>
          <w:rFonts w:ascii="楷体_GB2312" w:eastAsia="楷体_GB2312" w:cs="楷体_GB2312"/>
          <w:sz w:val="32"/>
          <w:szCs w:val="32"/>
        </w:rPr>
        <w:t>“</w:t>
      </w:r>
      <w:r>
        <w:rPr>
          <w:rFonts w:hint="eastAsia" w:ascii="楷体_GB2312" w:eastAsia="楷体_GB2312" w:cs="楷体_GB2312"/>
          <w:sz w:val="32"/>
          <w:szCs w:val="32"/>
        </w:rPr>
        <w:t>公顷</w:t>
      </w:r>
      <w:r>
        <w:rPr>
          <w:rFonts w:ascii="楷体_GB2312" w:eastAsia="楷体_GB2312" w:cs="楷体_GB2312"/>
          <w:sz w:val="32"/>
          <w:szCs w:val="32"/>
        </w:rPr>
        <w:t>”“</w:t>
      </w:r>
      <w:r>
        <w:rPr>
          <w:rFonts w:hint="eastAsia" w:ascii="楷体_GB2312" w:eastAsia="楷体_GB2312" w:cs="楷体_GB2312"/>
          <w:sz w:val="32"/>
          <w:szCs w:val="32"/>
        </w:rPr>
        <w:t>万元</w:t>
      </w:r>
      <w:r>
        <w:rPr>
          <w:rFonts w:ascii="楷体_GB2312" w:eastAsia="楷体_GB2312" w:cs="楷体_GB2312"/>
          <w:sz w:val="32"/>
          <w:szCs w:val="32"/>
        </w:rPr>
        <w:t>”</w:t>
      </w:r>
      <w:r>
        <w:rPr>
          <w:rFonts w:hint="eastAsia" w:ascii="楷体_GB2312" w:eastAsia="楷体_GB2312" w:cs="楷体_GB2312"/>
          <w:sz w:val="32"/>
          <w:szCs w:val="32"/>
        </w:rPr>
        <w:t>等。</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情形一</w:t>
      </w:r>
      <w:r>
        <w:rPr>
          <w:rFonts w:ascii="仿宋_GB2312" w:eastAsia="仿宋_GB2312" w:cs="仿宋_GB2312"/>
          <w:sz w:val="32"/>
          <w:szCs w:val="32"/>
        </w:rPr>
        <w:t>：</w:t>
      </w:r>
      <w:r>
        <w:rPr>
          <w:rFonts w:hint="eastAsia" w:ascii="仿宋_GB2312" w:eastAsia="仿宋_GB2312" w:cs="仿宋_GB2312"/>
          <w:sz w:val="32"/>
          <w:szCs w:val="32"/>
        </w:rPr>
        <w:t>〔不涉及违法用地〕经我局核查，项目未动工，不存在违法用地问题。</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情形二</w:t>
      </w:r>
      <w:r>
        <w:rPr>
          <w:rFonts w:ascii="仿宋_GB2312" w:eastAsia="仿宋_GB2312" w:cs="仿宋_GB2312"/>
          <w:sz w:val="32"/>
          <w:szCs w:val="32"/>
        </w:rPr>
        <w:t>：</w:t>
      </w:r>
      <w:r>
        <w:rPr>
          <w:rFonts w:hint="eastAsia" w:ascii="仿宋_GB2312" w:eastAsia="仿宋_GB2312" w:cs="仿宋_GB2312"/>
          <w:sz w:val="32"/>
          <w:szCs w:val="32"/>
        </w:rPr>
        <w:t>〔不涉及违法用地〕经我局核查，项目未动工，不存在违法用地问题，但项目用地范围内存在已于</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月经批准的临时用地，</w:t>
      </w:r>
      <w:r>
        <w:rPr>
          <w:rFonts w:ascii="仿宋_GB2312" w:eastAsia="仿宋_GB2312" w:cs="仿宋_GB2312"/>
          <w:sz w:val="32"/>
          <w:szCs w:val="32"/>
        </w:rPr>
        <w:t>**</w:t>
      </w:r>
      <w:r>
        <w:rPr>
          <w:rFonts w:hint="eastAsia" w:ascii="仿宋_GB2312" w:eastAsia="仿宋_GB2312" w:cs="仿宋_GB2312"/>
          <w:sz w:val="32"/>
          <w:szCs w:val="32"/>
        </w:rPr>
        <w:t>自然资源局批准临时用地面积</w:t>
      </w:r>
      <w:r>
        <w:rPr>
          <w:rFonts w:ascii="仿宋_GB2312" w:eastAsia="仿宋_GB2312" w:cs="仿宋_GB2312"/>
          <w:sz w:val="32"/>
          <w:szCs w:val="32"/>
        </w:rPr>
        <w:t>**</w:t>
      </w:r>
      <w:r>
        <w:rPr>
          <w:rFonts w:hint="eastAsia" w:ascii="仿宋_GB2312" w:eastAsia="仿宋_GB2312" w:cs="仿宋_GB2312"/>
          <w:sz w:val="32"/>
          <w:szCs w:val="32"/>
        </w:rPr>
        <w:t>公顷，用途为</w:t>
      </w:r>
      <w:r>
        <w:rPr>
          <w:rFonts w:ascii="仿宋_GB2312" w:eastAsia="仿宋_GB2312" w:cs="仿宋_GB2312"/>
          <w:sz w:val="32"/>
          <w:szCs w:val="32"/>
        </w:rPr>
        <w:t>**</w:t>
      </w:r>
      <w:r>
        <w:rPr>
          <w:rFonts w:hint="eastAsia" w:ascii="仿宋_GB2312" w:eastAsia="仿宋_GB2312" w:cs="仿宋_GB2312"/>
          <w:sz w:val="32"/>
          <w:szCs w:val="32"/>
        </w:rPr>
        <w:t>，使用期限为</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月至</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w:t>
      </w:r>
      <w:r>
        <w:rPr>
          <w:rFonts w:ascii="仿宋_GB2312" w:eastAsia="仿宋_GB2312" w:cs="仿宋_GB2312"/>
          <w:sz w:val="32"/>
          <w:szCs w:val="32"/>
        </w:rPr>
        <w:t>：</w:t>
      </w:r>
      <w:r>
        <w:rPr>
          <w:rFonts w:hint="eastAsia" w:ascii="仿宋_GB2312" w:eastAsia="仿宋_GB2312" w:cs="仿宋_GB2312"/>
          <w:sz w:val="32"/>
          <w:szCs w:val="32"/>
        </w:rPr>
        <w:t>实际用地面积</w:t>
      </w:r>
      <w:r>
        <w:rPr>
          <w:rFonts w:ascii="仿宋_GB2312" w:eastAsia="仿宋_GB2312" w:cs="仿宋_GB2312"/>
          <w:sz w:val="32"/>
          <w:szCs w:val="32"/>
        </w:rPr>
        <w:t>**</w:t>
      </w:r>
      <w:r>
        <w:rPr>
          <w:rFonts w:hint="eastAsia" w:ascii="仿宋_GB2312" w:eastAsia="仿宋_GB2312" w:cs="仿宋_GB2312"/>
          <w:sz w:val="32"/>
          <w:szCs w:val="32"/>
        </w:rPr>
        <w:t>公顷、用途为</w:t>
      </w:r>
      <w:r>
        <w:rPr>
          <w:rFonts w:ascii="仿宋_GB2312" w:eastAsia="仿宋_GB2312" w:cs="仿宋_GB2312"/>
          <w:sz w:val="32"/>
          <w:szCs w:val="32"/>
        </w:rPr>
        <w:t>**</w:t>
      </w:r>
      <w:r>
        <w:rPr>
          <w:rFonts w:hint="eastAsia" w:ascii="仿宋_GB2312" w:eastAsia="仿宋_GB2312" w:cs="仿宋_GB2312"/>
          <w:sz w:val="32"/>
          <w:szCs w:val="32"/>
        </w:rPr>
        <w:t>，目前在临时使用及土地复垦期限内，符合临时用地批准条件。</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情形三</w:t>
      </w:r>
      <w:r>
        <w:rPr>
          <w:rFonts w:ascii="仿宋_GB2312" w:eastAsia="仿宋_GB2312" w:cs="仿宋_GB2312"/>
          <w:sz w:val="32"/>
          <w:szCs w:val="32"/>
        </w:rPr>
        <w:t>：</w:t>
      </w:r>
      <w:r>
        <w:rPr>
          <w:rFonts w:hint="eastAsia" w:ascii="仿宋_GB2312" w:eastAsia="仿宋_GB2312" w:cs="仿宋_GB2312"/>
          <w:sz w:val="32"/>
          <w:szCs w:val="32"/>
        </w:rPr>
        <w:t>〔违法用地情况〕经我局核查，项目未动工，不存在违法用地问题，但项目用地范围内存在非该项目主体的违法用地行为，违法时间为</w:t>
      </w:r>
      <w:r>
        <w:rPr>
          <w:rFonts w:ascii="仿宋_GB2312" w:eastAsia="仿宋_GB2312" w:cs="仿宋_GB2312"/>
          <w:sz w:val="32"/>
          <w:szCs w:val="32"/>
        </w:rPr>
        <w:t>2020</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31</w:t>
      </w:r>
      <w:r>
        <w:rPr>
          <w:rFonts w:hint="eastAsia" w:ascii="仿宋_GB2312" w:eastAsia="仿宋_GB2312" w:cs="仿宋_GB2312"/>
          <w:sz w:val="32"/>
          <w:szCs w:val="32"/>
        </w:rPr>
        <w:t>日以前，所在地县级人民政府已承诺在项目报批农用地转用与土地征收前完成处罚。</w:t>
      </w:r>
      <w:r>
        <w:rPr>
          <w:rFonts w:ascii="仿宋_GB2312" w:eastAsia="仿宋_GB2312" w:cs="仿宋_GB2312"/>
          <w:sz w:val="32"/>
          <w:szCs w:val="32"/>
        </w:rPr>
        <w:t>（</w:t>
      </w:r>
      <w:r>
        <w:rPr>
          <w:rFonts w:hint="eastAsia" w:ascii="仿宋_GB2312" w:eastAsia="仿宋_GB2312" w:cs="仿宋_GB2312"/>
          <w:sz w:val="32"/>
          <w:szCs w:val="32"/>
        </w:rPr>
        <w:t>违法时间为</w:t>
      </w:r>
      <w:r>
        <w:rPr>
          <w:rFonts w:ascii="仿宋_GB2312" w:eastAsia="仿宋_GB2312" w:cs="仿宋_GB2312"/>
          <w:sz w:val="32"/>
          <w:szCs w:val="32"/>
        </w:rPr>
        <w:t>2021</w:t>
      </w:r>
      <w:r>
        <w:rPr>
          <w:rFonts w:hint="eastAsia" w:ascii="仿宋_GB2312" w:eastAsia="仿宋_GB2312" w:cs="仿宋_GB2312"/>
          <w:sz w:val="32"/>
          <w:szCs w:val="32"/>
        </w:rPr>
        <w:t>年</w:t>
      </w:r>
      <w:r>
        <w:rPr>
          <w:rFonts w:ascii="仿宋_GB2312" w:eastAsia="仿宋_GB2312" w:cs="仿宋_GB2312"/>
          <w:sz w:val="32"/>
          <w:szCs w:val="32"/>
        </w:rPr>
        <w:t>1</w:t>
      </w:r>
      <w:r>
        <w:rPr>
          <w:rFonts w:hint="eastAsia" w:ascii="仿宋_GB2312" w:eastAsia="仿宋_GB2312" w:cs="仿宋_GB2312"/>
          <w:sz w:val="32"/>
          <w:szCs w:val="32"/>
        </w:rPr>
        <w:t>月</w:t>
      </w:r>
      <w:r>
        <w:rPr>
          <w:rFonts w:ascii="仿宋_GB2312" w:eastAsia="仿宋_GB2312" w:cs="仿宋_GB2312"/>
          <w:sz w:val="32"/>
          <w:szCs w:val="32"/>
        </w:rPr>
        <w:t>1</w:t>
      </w:r>
      <w:r>
        <w:rPr>
          <w:rFonts w:hint="eastAsia" w:ascii="仿宋_GB2312" w:eastAsia="仿宋_GB2312" w:cs="仿宋_GB2312"/>
          <w:sz w:val="32"/>
          <w:szCs w:val="32"/>
        </w:rPr>
        <w:t>日以后，违法主体为</w:t>
      </w:r>
      <w:r>
        <w:rPr>
          <w:rFonts w:ascii="仿宋_GB2312" w:eastAsia="仿宋_GB2312" w:cs="仿宋_GB2312"/>
          <w:sz w:val="32"/>
          <w:szCs w:val="32"/>
        </w:rPr>
        <w:t>**</w:t>
      </w:r>
      <w:r>
        <w:rPr>
          <w:rFonts w:hint="eastAsia" w:ascii="仿宋_GB2312" w:eastAsia="仿宋_GB2312" w:cs="仿宋_GB2312"/>
          <w:sz w:val="32"/>
          <w:szCs w:val="32"/>
        </w:rPr>
        <w:t>，用地面积</w:t>
      </w:r>
      <w:r>
        <w:rPr>
          <w:rFonts w:ascii="仿宋_GB2312" w:eastAsia="仿宋_GB2312" w:cs="仿宋_GB2312"/>
          <w:sz w:val="32"/>
          <w:szCs w:val="32"/>
        </w:rPr>
        <w:t>**</w:t>
      </w:r>
      <w:r>
        <w:rPr>
          <w:rFonts w:hint="eastAsia" w:ascii="仿宋_GB2312" w:eastAsia="仿宋_GB2312" w:cs="仿宋_GB2312"/>
          <w:sz w:val="32"/>
          <w:szCs w:val="32"/>
        </w:rPr>
        <w:t>公顷，用途为</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自然资源局</w:t>
      </w:r>
      <w:r>
        <w:rPr>
          <w:rFonts w:ascii="仿宋_GB2312" w:eastAsia="仿宋_GB2312" w:cs="仿宋_GB2312"/>
          <w:sz w:val="32"/>
          <w:szCs w:val="32"/>
        </w:rPr>
        <w:t>/</w:t>
      </w:r>
      <w:r>
        <w:rPr>
          <w:rFonts w:hint="eastAsia" w:ascii="仿宋_GB2312" w:eastAsia="仿宋_GB2312" w:cs="仿宋_GB2312"/>
          <w:sz w:val="32"/>
          <w:szCs w:val="32"/>
        </w:rPr>
        <w:t>其他执法部门于</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月对违法用地作出</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等的处罚决定，各项处罚已于</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月执行到位。</w:t>
      </w:r>
      <w:r>
        <w:rPr>
          <w:rFonts w:ascii="仿宋_GB2312" w:eastAsia="仿宋_GB2312" w:cs="仿宋_GB2312"/>
          <w:sz w:val="32"/>
          <w:szCs w:val="32"/>
        </w:rPr>
        <w:t>）</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情形四</w:t>
      </w:r>
      <w:r>
        <w:rPr>
          <w:rFonts w:ascii="仿宋_GB2312" w:eastAsia="仿宋_GB2312" w:cs="仿宋_GB2312"/>
          <w:sz w:val="32"/>
          <w:szCs w:val="32"/>
        </w:rPr>
        <w:t>：</w:t>
      </w:r>
      <w:r>
        <w:rPr>
          <w:rFonts w:hint="eastAsia" w:ascii="仿宋_GB2312" w:eastAsia="仿宋_GB2312" w:cs="仿宋_GB2312"/>
          <w:sz w:val="32"/>
          <w:szCs w:val="32"/>
        </w:rPr>
        <w:t>〔违法用地情况〕经我局核查，项目已于</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月部分</w:t>
      </w:r>
      <w:r>
        <w:rPr>
          <w:rFonts w:ascii="仿宋_GB2312" w:eastAsia="仿宋_GB2312" w:cs="仿宋_GB2312"/>
          <w:sz w:val="32"/>
          <w:szCs w:val="32"/>
        </w:rPr>
        <w:t>/</w:t>
      </w:r>
      <w:r>
        <w:rPr>
          <w:rFonts w:hint="eastAsia" w:ascii="仿宋_GB2312" w:eastAsia="仿宋_GB2312" w:cs="仿宋_GB2312"/>
          <w:sz w:val="32"/>
          <w:szCs w:val="32"/>
        </w:rPr>
        <w:t>全部动工用地</w:t>
      </w:r>
      <w:r>
        <w:rPr>
          <w:rFonts w:ascii="仿宋_GB2312" w:eastAsia="仿宋_GB2312" w:cs="仿宋_GB2312"/>
          <w:sz w:val="32"/>
          <w:szCs w:val="32"/>
        </w:rPr>
        <w:t>（</w:t>
      </w:r>
      <w:r>
        <w:rPr>
          <w:rFonts w:hint="eastAsia" w:ascii="仿宋_GB2312" w:eastAsia="仿宋_GB2312" w:cs="仿宋_GB2312"/>
          <w:sz w:val="32"/>
          <w:szCs w:val="32"/>
        </w:rPr>
        <w:t>项目已建成</w:t>
      </w:r>
      <w:r>
        <w:rPr>
          <w:rFonts w:ascii="仿宋_GB2312" w:eastAsia="仿宋_GB2312" w:cs="仿宋_GB2312"/>
          <w:sz w:val="32"/>
          <w:szCs w:val="32"/>
        </w:rPr>
        <w:t>/</w:t>
      </w:r>
      <w:r>
        <w:rPr>
          <w:rFonts w:hint="eastAsia" w:ascii="仿宋_GB2312" w:eastAsia="仿宋_GB2312" w:cs="仿宋_GB2312"/>
          <w:sz w:val="32"/>
          <w:szCs w:val="32"/>
        </w:rPr>
        <w:t>未建成</w:t>
      </w:r>
      <w:r>
        <w:rPr>
          <w:rFonts w:ascii="仿宋_GB2312" w:eastAsia="仿宋_GB2312" w:cs="仿宋_GB2312"/>
          <w:sz w:val="32"/>
          <w:szCs w:val="32"/>
        </w:rPr>
        <w:t>）</w:t>
      </w:r>
      <w:r>
        <w:rPr>
          <w:rFonts w:hint="eastAsia" w:ascii="仿宋_GB2312" w:eastAsia="仿宋_GB2312" w:cs="仿宋_GB2312"/>
          <w:sz w:val="32"/>
          <w:szCs w:val="32"/>
        </w:rPr>
        <w:t>，存在违法用地问题，违法用地面积</w:t>
      </w:r>
      <w:r>
        <w:rPr>
          <w:rFonts w:ascii="仿宋_GB2312" w:eastAsia="仿宋_GB2312" w:cs="仿宋_GB2312"/>
          <w:sz w:val="32"/>
          <w:szCs w:val="32"/>
        </w:rPr>
        <w:t>**</w:t>
      </w:r>
      <w:r>
        <w:rPr>
          <w:rFonts w:hint="eastAsia" w:ascii="仿宋_GB2312" w:eastAsia="仿宋_GB2312" w:cs="仿宋_GB2312"/>
          <w:sz w:val="32"/>
          <w:szCs w:val="32"/>
        </w:rPr>
        <w:t>公顷</w:t>
      </w:r>
      <w:r>
        <w:rPr>
          <w:rFonts w:ascii="仿宋_GB2312" w:eastAsia="仿宋_GB2312" w:cs="仿宋_GB2312"/>
          <w:sz w:val="32"/>
          <w:szCs w:val="32"/>
        </w:rPr>
        <w:t>（</w:t>
      </w:r>
      <w:r>
        <w:rPr>
          <w:rFonts w:hint="eastAsia" w:ascii="仿宋_GB2312" w:eastAsia="仿宋_GB2312" w:cs="仿宋_GB2312"/>
          <w:sz w:val="32"/>
          <w:szCs w:val="32"/>
        </w:rPr>
        <w:t>如存在动工面积与违法用地面积不一致情形的说明原因</w:t>
      </w:r>
      <w:r>
        <w:rPr>
          <w:rFonts w:ascii="仿宋_GB2312" w:eastAsia="仿宋_GB2312" w:cs="仿宋_GB2312"/>
          <w:sz w:val="32"/>
          <w:szCs w:val="32"/>
        </w:rPr>
        <w:t>）</w:t>
      </w:r>
      <w:r>
        <w:rPr>
          <w:rFonts w:hint="eastAsia" w:ascii="仿宋_GB2312" w:eastAsia="仿宋_GB2312" w:cs="仿宋_GB2312"/>
          <w:sz w:val="32"/>
          <w:szCs w:val="32"/>
        </w:rPr>
        <w:t>。项目违法用地涉及</w:t>
      </w:r>
      <w:r>
        <w:rPr>
          <w:rFonts w:ascii="仿宋_GB2312" w:eastAsia="仿宋_GB2312" w:cs="仿宋_GB2312"/>
          <w:sz w:val="32"/>
          <w:szCs w:val="32"/>
        </w:rPr>
        <w:t>（</w:t>
      </w:r>
      <w:r>
        <w:rPr>
          <w:rFonts w:hint="eastAsia" w:ascii="仿宋_GB2312" w:eastAsia="仿宋_GB2312" w:cs="仿宋_GB2312"/>
          <w:sz w:val="32"/>
          <w:szCs w:val="32"/>
        </w:rPr>
        <w:t>或者不涉及</w:t>
      </w:r>
      <w:r>
        <w:rPr>
          <w:rFonts w:ascii="仿宋_GB2312" w:eastAsia="仿宋_GB2312" w:cs="仿宋_GB2312"/>
          <w:sz w:val="32"/>
          <w:szCs w:val="32"/>
        </w:rPr>
        <w:t>）</w:t>
      </w:r>
      <w:r>
        <w:rPr>
          <w:rFonts w:hint="eastAsia" w:ascii="仿宋_GB2312" w:eastAsia="仿宋_GB2312" w:cs="仿宋_GB2312"/>
          <w:sz w:val="32"/>
          <w:szCs w:val="32"/>
        </w:rPr>
        <w:t>生态保护红线或自然保护区。我局</w:t>
      </w:r>
      <w:r>
        <w:rPr>
          <w:rFonts w:ascii="仿宋_GB2312" w:eastAsia="仿宋_GB2312" w:cs="仿宋_GB2312"/>
          <w:sz w:val="32"/>
          <w:szCs w:val="32"/>
        </w:rPr>
        <w:t>（</w:t>
      </w:r>
      <w:r>
        <w:rPr>
          <w:rFonts w:hint="eastAsia" w:ascii="仿宋_GB2312" w:eastAsia="仿宋_GB2312" w:cs="仿宋_GB2312"/>
          <w:sz w:val="32"/>
          <w:szCs w:val="32"/>
        </w:rPr>
        <w:t>或者其他执法部门</w:t>
      </w:r>
      <w:r>
        <w:rPr>
          <w:rFonts w:ascii="仿宋_GB2312" w:eastAsia="仿宋_GB2312" w:cs="仿宋_GB2312"/>
          <w:sz w:val="32"/>
          <w:szCs w:val="32"/>
        </w:rPr>
        <w:t>）</w:t>
      </w:r>
      <w:r>
        <w:rPr>
          <w:rFonts w:hint="eastAsia" w:ascii="仿宋_GB2312" w:eastAsia="仿宋_GB2312" w:cs="仿宋_GB2312"/>
          <w:sz w:val="32"/>
          <w:szCs w:val="32"/>
        </w:rPr>
        <w:t>于</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月对</w:t>
      </w:r>
      <w:r>
        <w:rPr>
          <w:rFonts w:ascii="仿宋_GB2312" w:eastAsia="仿宋_GB2312" w:cs="仿宋_GB2312"/>
          <w:sz w:val="32"/>
          <w:szCs w:val="32"/>
        </w:rPr>
        <w:t>**</w:t>
      </w:r>
      <w:r>
        <w:rPr>
          <w:rFonts w:hint="eastAsia" w:ascii="仿宋_GB2312" w:eastAsia="仿宋_GB2312" w:cs="仿宋_GB2312"/>
          <w:sz w:val="32"/>
          <w:szCs w:val="32"/>
        </w:rPr>
        <w:t>公顷违法用地作出</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等的处罚决定</w:t>
      </w:r>
      <w:r>
        <w:rPr>
          <w:rFonts w:ascii="仿宋_GB2312" w:eastAsia="仿宋_GB2312" w:cs="仿宋_GB2312"/>
          <w:sz w:val="32"/>
          <w:szCs w:val="32"/>
        </w:rPr>
        <w:t>；</w:t>
      </w:r>
      <w:r>
        <w:rPr>
          <w:rFonts w:hint="eastAsia" w:ascii="仿宋_GB2312" w:eastAsia="仿宋_GB2312" w:cs="仿宋_GB2312"/>
          <w:sz w:val="32"/>
          <w:szCs w:val="32"/>
        </w:rPr>
        <w:t>我局</w:t>
      </w:r>
      <w:r>
        <w:rPr>
          <w:rFonts w:ascii="仿宋_GB2312" w:eastAsia="仿宋_GB2312" w:cs="仿宋_GB2312"/>
          <w:sz w:val="32"/>
          <w:szCs w:val="32"/>
        </w:rPr>
        <w:t>（</w:t>
      </w:r>
      <w:r>
        <w:rPr>
          <w:rFonts w:hint="eastAsia" w:ascii="仿宋_GB2312" w:eastAsia="仿宋_GB2312" w:cs="仿宋_GB2312"/>
          <w:sz w:val="32"/>
          <w:szCs w:val="32"/>
        </w:rPr>
        <w:t>或者其他执法部门</w:t>
      </w:r>
      <w:r>
        <w:rPr>
          <w:rFonts w:ascii="仿宋_GB2312" w:eastAsia="仿宋_GB2312" w:cs="仿宋_GB2312"/>
          <w:sz w:val="32"/>
          <w:szCs w:val="32"/>
        </w:rPr>
        <w:t>）</w:t>
      </w:r>
      <w:r>
        <w:rPr>
          <w:rFonts w:hint="eastAsia" w:ascii="仿宋_GB2312" w:eastAsia="仿宋_GB2312" w:cs="仿宋_GB2312"/>
          <w:sz w:val="32"/>
          <w:szCs w:val="32"/>
        </w:rPr>
        <w:t>于</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月对违法用地涉及生态保护红线</w:t>
      </w:r>
      <w:r>
        <w:rPr>
          <w:rFonts w:ascii="仿宋_GB2312" w:eastAsia="仿宋_GB2312" w:cs="仿宋_GB2312"/>
          <w:sz w:val="32"/>
          <w:szCs w:val="32"/>
        </w:rPr>
        <w:t>**</w:t>
      </w:r>
      <w:r>
        <w:rPr>
          <w:rFonts w:hint="eastAsia" w:ascii="仿宋_GB2312" w:eastAsia="仿宋_GB2312" w:cs="仿宋_GB2312"/>
          <w:sz w:val="32"/>
          <w:szCs w:val="32"/>
        </w:rPr>
        <w:t>公顷作出</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等的从重处罚决定，各项处罚已于</w:t>
      </w:r>
      <w:r>
        <w:rPr>
          <w:rFonts w:ascii="仿宋_GB2312" w:eastAsia="仿宋_GB2312" w:cs="仿宋_GB2312"/>
          <w:sz w:val="32"/>
          <w:szCs w:val="32"/>
        </w:rPr>
        <w:t>**</w:t>
      </w:r>
      <w:r>
        <w:rPr>
          <w:rFonts w:hint="eastAsia" w:ascii="仿宋_GB2312" w:eastAsia="仿宋_GB2312" w:cs="仿宋_GB2312"/>
          <w:sz w:val="32"/>
          <w:szCs w:val="32"/>
        </w:rPr>
        <w:t>年</w:t>
      </w:r>
      <w:r>
        <w:rPr>
          <w:rFonts w:ascii="仿宋_GB2312" w:eastAsia="仿宋_GB2312" w:cs="仿宋_GB2312"/>
          <w:sz w:val="32"/>
          <w:szCs w:val="32"/>
        </w:rPr>
        <w:t>**</w:t>
      </w:r>
      <w:r>
        <w:rPr>
          <w:rFonts w:hint="eastAsia" w:ascii="仿宋_GB2312" w:eastAsia="仿宋_GB2312" w:cs="仿宋_GB2312"/>
          <w:sz w:val="32"/>
          <w:szCs w:val="32"/>
        </w:rPr>
        <w:t>月执行到位。相关责任人员</w:t>
      </w:r>
      <w:r>
        <w:rPr>
          <w:rFonts w:ascii="仿宋_GB2312" w:eastAsia="仿宋_GB2312" w:cs="仿宋_GB2312"/>
          <w:sz w:val="32"/>
          <w:szCs w:val="32"/>
        </w:rPr>
        <w:t>**</w:t>
      </w:r>
      <w:r>
        <w:rPr>
          <w:rFonts w:hint="eastAsia" w:ascii="仿宋_GB2312" w:eastAsia="仿宋_GB2312" w:cs="仿宋_GB2312"/>
          <w:sz w:val="32"/>
          <w:szCs w:val="32"/>
        </w:rPr>
        <w:t>受到</w:t>
      </w:r>
      <w:r>
        <w:rPr>
          <w:rFonts w:ascii="仿宋_GB2312" w:eastAsia="仿宋_GB2312" w:cs="仿宋_GB2312"/>
          <w:sz w:val="32"/>
          <w:szCs w:val="32"/>
        </w:rPr>
        <w:t>**</w:t>
      </w:r>
      <w:r>
        <w:rPr>
          <w:rFonts w:hint="eastAsia" w:ascii="仿宋_GB2312" w:eastAsia="仿宋_GB2312" w:cs="仿宋_GB2312"/>
          <w:sz w:val="32"/>
          <w:szCs w:val="32"/>
        </w:rPr>
        <w:t>处分。</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情形三至四，当事人对违法用地问题已自行整改到位，且符合土地管理法律法规及本地区自由裁量权规定，决定非立案处置、减轻处罚、不予行政处罚、不予罚款的，我局已组织研究，非立案处置、不予行政处罚、减轻处罚，符合《土地管理法》《行政处罚法》《土地管理法实施条例》等法律法规及我省</w:t>
      </w:r>
      <w:r>
        <w:rPr>
          <w:rFonts w:ascii="仿宋_GB2312" w:eastAsia="仿宋_GB2312" w:cs="仿宋_GB2312"/>
          <w:sz w:val="32"/>
          <w:szCs w:val="32"/>
        </w:rPr>
        <w:t>（</w:t>
      </w:r>
      <w:r>
        <w:rPr>
          <w:rFonts w:hint="eastAsia" w:ascii="仿宋_GB2312" w:eastAsia="仿宋_GB2312" w:cs="仿宋_GB2312"/>
          <w:sz w:val="32"/>
          <w:szCs w:val="32"/>
        </w:rPr>
        <w:t>区、市</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自由裁量权规定》。</w:t>
      </w:r>
    </w:p>
    <w:p>
      <w:pPr>
        <w:adjustRightInd w:val="0"/>
        <w:snapToGrid w:val="0"/>
        <w:spacing w:line="560" w:lineRule="exact"/>
        <w:ind w:firstLine="640" w:firstLineChars="200"/>
        <w:textAlignment w:val="baseline"/>
        <w:rPr>
          <w:rFonts w:ascii="仿宋_GB2312" w:eastAsia="仿宋_GB2312" w:cs="仿宋_GB2312"/>
          <w:sz w:val="32"/>
          <w:szCs w:val="32"/>
        </w:rPr>
      </w:pPr>
      <w:r>
        <w:rPr>
          <w:rFonts w:hint="eastAsia" w:ascii="仿宋_GB2312" w:eastAsia="仿宋_GB2312" w:cs="仿宋_GB2312"/>
          <w:sz w:val="32"/>
          <w:szCs w:val="32"/>
        </w:rPr>
        <w:t>〔节约集约用地专章编制情况〕项目已按照相关要求，编制节约集约用地论证分析专章，按照省厅</w:t>
      </w:r>
      <w:r>
        <w:rPr>
          <w:rFonts w:ascii="仿宋_GB2312" w:eastAsia="仿宋_GB2312" w:cs="仿宋_GB2312"/>
          <w:sz w:val="32"/>
          <w:szCs w:val="32"/>
        </w:rPr>
        <w:t>“</w:t>
      </w:r>
      <w:r>
        <w:rPr>
          <w:rFonts w:hint="eastAsia" w:ascii="仿宋_GB2312" w:eastAsia="仿宋_GB2312" w:cs="仿宋_GB2312"/>
          <w:sz w:val="32"/>
          <w:szCs w:val="32"/>
        </w:rPr>
        <w:t>多评合一</w:t>
      </w:r>
      <w:r>
        <w:rPr>
          <w:rFonts w:ascii="仿宋_GB2312" w:eastAsia="仿宋_GB2312" w:cs="仿宋_GB2312"/>
          <w:sz w:val="32"/>
          <w:szCs w:val="32"/>
        </w:rPr>
        <w:t>”</w:t>
      </w:r>
      <w:r>
        <w:rPr>
          <w:rFonts w:hint="eastAsia" w:ascii="仿宋_GB2312" w:eastAsia="仿宋_GB2312" w:cs="仿宋_GB2312"/>
          <w:sz w:val="32"/>
          <w:szCs w:val="32"/>
        </w:rPr>
        <w:t>综合论证改革要求，项目单位已将应编制的规划选址论证报告、生态保护红线不可避让性论证报告、节地评价等内容充实到《专章》相应部分，我局已对《节约集约用地论证分析专章》部分内容进行了修改完善，分别是：</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（详细表述对专章部分内容的修改完善情况）。</w:t>
      </w:r>
    </w:p>
    <w:p>
      <w:pPr>
        <w:widowControl/>
        <w:shd w:val="clear" w:color="auto" w:fill="FFFFFF"/>
        <w:adjustRightInd w:val="0"/>
        <w:snapToGrid w:val="0"/>
        <w:spacing w:line="560" w:lineRule="exact"/>
        <w:ind w:firstLine="640" w:firstLineChars="200"/>
        <w:textAlignment w:val="baseline"/>
        <w:rPr>
          <w:rFonts w:ascii="楷体_GB2312" w:eastAsia="楷体_GB2312" w:cs="楷体_GB2312"/>
          <w:sz w:val="32"/>
          <w:szCs w:val="32"/>
        </w:rPr>
      </w:pPr>
      <w:r>
        <w:rPr>
          <w:rFonts w:hint="eastAsia" w:ascii="楷体_GB2312" w:eastAsia="楷体_GB2312" w:cs="楷体_GB2312"/>
          <w:sz w:val="32"/>
          <w:szCs w:val="32"/>
        </w:rPr>
        <w:t>注：水利水电项目需说明淹没区情况。项目涉及淹没区用地</w:t>
      </w:r>
      <w:r>
        <w:rPr>
          <w:rFonts w:ascii="楷体_GB2312" w:eastAsia="楷体_GB2312" w:cs="楷体_GB2312"/>
          <w:sz w:val="32"/>
          <w:szCs w:val="32"/>
        </w:rPr>
        <w:t>**</w:t>
      </w:r>
      <w:r>
        <w:rPr>
          <w:rFonts w:hint="eastAsia" w:ascii="楷体_GB2312" w:eastAsia="楷体_GB2312" w:cs="楷体_GB2312"/>
          <w:sz w:val="32"/>
          <w:szCs w:val="32"/>
        </w:rPr>
        <w:t>公顷（此次未申报），其中耕地</w:t>
      </w:r>
      <w:r>
        <w:rPr>
          <w:rFonts w:ascii="楷体_GB2312" w:eastAsia="楷体_GB2312" w:cs="楷体_GB2312"/>
          <w:sz w:val="32"/>
          <w:szCs w:val="32"/>
        </w:rPr>
        <w:t>**</w:t>
      </w:r>
      <w:r>
        <w:rPr>
          <w:rFonts w:hint="eastAsia" w:ascii="楷体_GB2312" w:eastAsia="楷体_GB2312" w:cs="楷体_GB2312"/>
          <w:sz w:val="32"/>
          <w:szCs w:val="32"/>
        </w:rPr>
        <w:t>公顷（含永久基本农田</w:t>
      </w:r>
      <w:r>
        <w:rPr>
          <w:rFonts w:ascii="楷体_GB2312" w:eastAsia="楷体_GB2312" w:cs="楷体_GB2312"/>
          <w:sz w:val="32"/>
          <w:szCs w:val="32"/>
        </w:rPr>
        <w:t>**</w:t>
      </w:r>
      <w:r>
        <w:rPr>
          <w:rFonts w:hint="eastAsia" w:ascii="楷体_GB2312" w:eastAsia="楷体_GB2312" w:cs="楷体_GB2312"/>
          <w:sz w:val="32"/>
          <w:szCs w:val="32"/>
        </w:rPr>
        <w:t>公顷），建设用地</w:t>
      </w:r>
      <w:r>
        <w:rPr>
          <w:rFonts w:ascii="楷体_GB2312" w:eastAsia="楷体_GB2312" w:cs="楷体_GB2312"/>
          <w:sz w:val="32"/>
          <w:szCs w:val="32"/>
        </w:rPr>
        <w:t>**</w:t>
      </w:r>
      <w:r>
        <w:rPr>
          <w:rFonts w:hint="eastAsia" w:ascii="楷体_GB2312" w:eastAsia="楷体_GB2312" w:cs="楷体_GB2312"/>
          <w:sz w:val="32"/>
          <w:szCs w:val="32"/>
        </w:rPr>
        <w:t>公顷，未利用地</w:t>
      </w:r>
      <w:r>
        <w:rPr>
          <w:rFonts w:ascii="楷体_GB2312" w:eastAsia="楷体_GB2312" w:cs="楷体_GB2312"/>
          <w:sz w:val="32"/>
          <w:szCs w:val="32"/>
        </w:rPr>
        <w:t>**</w:t>
      </w:r>
      <w:r>
        <w:rPr>
          <w:rFonts w:hint="eastAsia" w:ascii="楷体_GB2312" w:eastAsia="楷体_GB2312" w:cs="楷体_GB2312"/>
          <w:sz w:val="32"/>
          <w:szCs w:val="32"/>
        </w:rPr>
        <w:t>公顷；淹没区不涉及永久基本农田</w:t>
      </w:r>
      <w:r>
        <w:rPr>
          <w:rFonts w:ascii="楷体_GB2312" w:eastAsia="楷体_GB2312" w:cs="楷体_GB2312"/>
          <w:sz w:val="32"/>
          <w:szCs w:val="32"/>
        </w:rPr>
        <w:t>/</w:t>
      </w:r>
      <w:r>
        <w:rPr>
          <w:rFonts w:hint="eastAsia" w:ascii="楷体_GB2312" w:eastAsia="楷体_GB2312" w:cs="楷体_GB2312"/>
          <w:sz w:val="32"/>
          <w:szCs w:val="32"/>
        </w:rPr>
        <w:t>淹没区涉及永久基本农田，下一步将按要求开展现场踏勘</w:t>
      </w:r>
      <w:r>
        <w:rPr>
          <w:rFonts w:ascii="楷体_GB2312" w:eastAsia="楷体_GB2312" w:cs="楷体_GB2312"/>
          <w:sz w:val="32"/>
          <w:szCs w:val="32"/>
        </w:rPr>
        <w:t>/</w:t>
      </w:r>
      <w:r>
        <w:rPr>
          <w:rFonts w:hint="eastAsia" w:ascii="楷体_GB2312" w:eastAsia="楷体_GB2312" w:cs="楷体_GB2312"/>
          <w:sz w:val="32"/>
          <w:szCs w:val="32"/>
        </w:rPr>
        <w:t>已与本次申报部分一同开展现场踏勘。淹没区不位于生态保护红线范围内</w:t>
      </w:r>
      <w:r>
        <w:rPr>
          <w:rFonts w:ascii="楷体_GB2312" w:eastAsia="楷体_GB2312" w:cs="楷体_GB2312"/>
          <w:sz w:val="32"/>
          <w:szCs w:val="32"/>
        </w:rPr>
        <w:t>/</w:t>
      </w:r>
      <w:r>
        <w:rPr>
          <w:rFonts w:hint="eastAsia" w:ascii="楷体_GB2312" w:eastAsia="楷体_GB2312" w:cs="楷体_GB2312"/>
          <w:sz w:val="32"/>
          <w:szCs w:val="32"/>
        </w:rPr>
        <w:t>部分用地位于生态保护红线范围内，占地面积</w:t>
      </w:r>
      <w:r>
        <w:rPr>
          <w:rFonts w:ascii="楷体_GB2312" w:eastAsia="楷体_GB2312" w:cs="楷体_GB2312"/>
          <w:sz w:val="32"/>
          <w:szCs w:val="32"/>
        </w:rPr>
        <w:t>**</w:t>
      </w:r>
      <w:r>
        <w:rPr>
          <w:rFonts w:hint="eastAsia" w:ascii="楷体_GB2312" w:eastAsia="楷体_GB2312" w:cs="楷体_GB2312"/>
          <w:sz w:val="32"/>
          <w:szCs w:val="32"/>
        </w:rPr>
        <w:t>公顷，符合国家重大项目确需占用情形或允许有限人为活动情形。</w:t>
      </w:r>
    </w:p>
    <w:p>
      <w:pPr>
        <w:widowControl/>
        <w:shd w:val="clear" w:color="auto" w:fill="FFFFFF"/>
        <w:adjustRightInd w:val="0"/>
        <w:snapToGrid w:val="0"/>
        <w:spacing w:line="560" w:lineRule="exact"/>
        <w:ind w:firstLine="640" w:firstLineChars="200"/>
        <w:textAlignment w:val="baseline"/>
        <w:rPr>
          <w:rFonts w:ascii="黑体" w:hAnsi="黑体" w:eastAsia="黑体" w:cs="宋体"/>
          <w:kern w:val="0"/>
          <w:sz w:val="32"/>
          <w:szCs w:val="32"/>
        </w:rPr>
      </w:pPr>
      <w:r>
        <w:rPr>
          <w:rFonts w:hint="eastAsia" w:ascii="黑体" w:hAnsi="黑体" w:eastAsia="黑体" w:cs="宋体"/>
          <w:kern w:val="0"/>
          <w:sz w:val="32"/>
          <w:szCs w:val="32"/>
        </w:rPr>
        <w:t>八、小结</w:t>
      </w:r>
    </w:p>
    <w:p>
      <w:pPr>
        <w:adjustRightInd w:val="0"/>
        <w:snapToGrid w:val="0"/>
        <w:spacing w:line="560" w:lineRule="exact"/>
        <w:ind w:firstLine="640" w:firstLineChars="200"/>
        <w:textAlignment w:val="baseline"/>
        <w:rPr>
          <w:rFonts w:ascii="仿宋_GB2312" w:hAnsi="仿宋_GB2312" w:eastAsia="仿宋_GB2312" w:cs="仿宋_GB2312"/>
          <w:bCs/>
          <w:kern w:val="0"/>
          <w:sz w:val="32"/>
          <w:szCs w:val="32"/>
        </w:rPr>
      </w:pPr>
      <w:r>
        <w:rPr>
          <w:rFonts w:hint="eastAsia" w:ascii="仿宋_GB2312" w:eastAsia="仿宋_GB2312" w:cs="仿宋_GB2312"/>
          <w:sz w:val="32"/>
          <w:szCs w:val="32"/>
        </w:rPr>
        <w:t>综上所述，我局初审同意项目用地预审与选址申请。</w:t>
      </w:r>
    </w:p>
    <w:p>
      <w:pPr>
        <w:adjustRightInd w:val="0"/>
        <w:spacing w:line="560" w:lineRule="exact"/>
        <w:ind w:firstLine="645"/>
        <w:textAlignment w:val="baseline"/>
        <w:rPr>
          <w:rFonts w:ascii="黑体" w:hAnsi="黑体" w:eastAsia="黑体" w:cs="宋体"/>
          <w:kern w:val="0"/>
          <w:sz w:val="32"/>
          <w:szCs w:val="32"/>
        </w:rPr>
      </w:pPr>
    </w:p>
    <w:p>
      <w:pPr>
        <w:adjustRightInd w:val="0"/>
        <w:spacing w:line="560" w:lineRule="exact"/>
        <w:textAlignment w:val="baseline"/>
        <w:rPr>
          <w:rFonts w:ascii="仿宋_GB2312" w:eastAsia="仿宋_GB2312"/>
          <w:sz w:val="32"/>
          <w:szCs w:val="32"/>
        </w:rPr>
      </w:pPr>
    </w:p>
    <w:p>
      <w:pPr>
        <w:wordWrap w:val="0"/>
        <w:adjustRightInd w:val="0"/>
        <w:spacing w:line="560" w:lineRule="exact"/>
        <w:ind w:right="1280"/>
        <w:jc w:val="right"/>
        <w:textAlignment w:val="baseline"/>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单位</w:t>
      </w:r>
    </w:p>
    <w:p>
      <w:pPr>
        <w:adjustRightInd w:val="0"/>
        <w:spacing w:line="560" w:lineRule="exact"/>
        <w:ind w:firstLine="6240" w:firstLineChars="1950"/>
        <w:jc w:val="left"/>
        <w:textAlignment w:val="baseline"/>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年*</w:t>
      </w:r>
      <w:r>
        <w:rPr>
          <w:rFonts w:ascii="仿宋_GB2312" w:eastAsia="仿宋_GB2312"/>
          <w:sz w:val="32"/>
          <w:szCs w:val="32"/>
        </w:rPr>
        <w:t>*</w:t>
      </w:r>
      <w:r>
        <w:rPr>
          <w:rFonts w:hint="eastAsia" w:ascii="仿宋_GB2312" w:eastAsia="仿宋_GB2312"/>
          <w:sz w:val="32"/>
          <w:szCs w:val="32"/>
        </w:rPr>
        <w:t>月*</w:t>
      </w:r>
      <w:r>
        <w:rPr>
          <w:rFonts w:ascii="仿宋_GB2312" w:eastAsia="仿宋_GB2312"/>
          <w:sz w:val="32"/>
          <w:szCs w:val="32"/>
        </w:rPr>
        <w:t>*</w:t>
      </w:r>
      <w:r>
        <w:rPr>
          <w:rFonts w:hint="eastAsia" w:ascii="仿宋_GB2312" w:eastAsia="仿宋_GB2312"/>
          <w:sz w:val="32"/>
          <w:szCs w:val="32"/>
        </w:rPr>
        <w:t xml:space="preserve">日  </w:t>
      </w:r>
    </w:p>
    <w:p>
      <w:pPr>
        <w:adjustRightInd w:val="0"/>
        <w:spacing w:line="560" w:lineRule="exact"/>
        <w:ind w:firstLine="645"/>
        <w:jc w:val="right"/>
        <w:textAlignment w:val="baseline"/>
        <w:rPr>
          <w:rFonts w:eastAsia="黑体"/>
          <w:sz w:val="32"/>
          <w:szCs w:val="32"/>
        </w:rPr>
      </w:pPr>
      <w:r>
        <w:rPr>
          <w:rFonts w:hint="eastAsia" w:ascii="仿宋_GB2312" w:hAnsi="宋体" w:eastAsia="仿宋_GB2312"/>
          <w:bCs/>
          <w:sz w:val="32"/>
          <w:szCs w:val="32"/>
        </w:rPr>
        <w:t xml:space="preserve">（联系人：     联系电话： </w:t>
      </w:r>
      <w:r>
        <w:rPr>
          <w:rFonts w:ascii="仿宋_GB2312" w:hAnsi="宋体" w:eastAsia="仿宋_GB2312"/>
          <w:bCs/>
          <w:sz w:val="32"/>
          <w:szCs w:val="32"/>
        </w:rPr>
        <w:t xml:space="preserve">    </w:t>
      </w:r>
      <w:r>
        <w:rPr>
          <w:rFonts w:hint="eastAsia" w:ascii="仿宋_GB2312" w:hAnsi="宋体" w:eastAsia="仿宋_GB2312"/>
          <w:bCs/>
          <w:sz w:val="32"/>
          <w:szCs w:val="32"/>
        </w:rPr>
        <w:t>）</w:t>
      </w:r>
      <w:r>
        <w:rPr>
          <w:rFonts w:eastAsia="黑体"/>
          <w:sz w:val="32"/>
          <w:szCs w:val="32"/>
        </w:rPr>
        <w:br w:type="page"/>
      </w:r>
    </w:p>
    <w:p>
      <w:pPr>
        <w:widowControl/>
        <w:jc w:val="left"/>
        <w:rPr>
          <w:rFonts w:ascii="仿宋_GB2312" w:eastAsia="仿宋_GB2312"/>
          <w:sz w:val="32"/>
          <w:szCs w:val="32"/>
        </w:rPr>
      </w:pPr>
    </w:p>
    <w:p>
      <w:pPr>
        <w:keepNext/>
        <w:keepLines/>
        <w:spacing w:line="560" w:lineRule="exact"/>
        <w:ind w:firstLine="640" w:firstLineChars="200"/>
        <w:jc w:val="left"/>
        <w:outlineLvl w:val="2"/>
        <w:rPr>
          <w:rFonts w:ascii="黑体" w:hAnsi="黑体" w:eastAsia="黑体"/>
          <w:bCs/>
          <w:sz w:val="32"/>
          <w:szCs w:val="32"/>
        </w:rPr>
      </w:pPr>
      <w:r>
        <w:rPr>
          <w:rFonts w:hint="eastAsia" w:ascii="黑体" w:hAnsi="黑体" w:eastAsia="黑体"/>
          <w:bCs/>
          <w:sz w:val="32"/>
          <w:szCs w:val="32"/>
        </w:rPr>
        <w:t>附件</w:t>
      </w:r>
      <w:r>
        <w:rPr>
          <w:rFonts w:ascii="黑体" w:hAnsi="黑体" w:eastAsia="黑体"/>
          <w:bCs/>
          <w:sz w:val="32"/>
          <w:szCs w:val="32"/>
        </w:rPr>
        <w:t>2</w:t>
      </w:r>
      <w:r>
        <w:rPr>
          <w:rFonts w:hint="eastAsia" w:ascii="黑体" w:hAnsi="黑体" w:eastAsia="黑体"/>
          <w:bCs/>
          <w:sz w:val="32"/>
          <w:szCs w:val="32"/>
        </w:rPr>
        <w:t xml:space="preserve"> </w:t>
      </w:r>
      <w:bookmarkStart w:id="52" w:name="OLE_LINK19"/>
      <w:bookmarkStart w:id="53" w:name="OLE_LINK20"/>
      <w:r>
        <w:rPr>
          <w:rFonts w:ascii="黑体" w:hAnsi="黑体" w:eastAsia="黑体"/>
          <w:bCs/>
          <w:sz w:val="32"/>
          <w:szCs w:val="32"/>
        </w:rPr>
        <w:t>**</w:t>
      </w:r>
      <w:r>
        <w:rPr>
          <w:rFonts w:hint="eastAsia" w:ascii="黑体" w:hAnsi="黑体" w:eastAsia="黑体"/>
          <w:bCs/>
          <w:sz w:val="32"/>
          <w:szCs w:val="32"/>
        </w:rPr>
        <w:t>选址意见书</w:t>
      </w:r>
      <w:r>
        <w:rPr>
          <w:rFonts w:ascii="黑体" w:hAnsi="黑体" w:eastAsia="黑体"/>
          <w:bCs/>
          <w:sz w:val="32"/>
          <w:szCs w:val="32"/>
        </w:rPr>
        <w:t>/</w:t>
      </w:r>
      <w:r>
        <w:rPr>
          <w:rFonts w:hint="eastAsia" w:ascii="黑体" w:hAnsi="黑体" w:eastAsia="黑体"/>
          <w:bCs/>
          <w:sz w:val="32"/>
          <w:szCs w:val="32"/>
        </w:rPr>
        <w:t>规划条件通知书模板</w:t>
      </w:r>
    </w:p>
    <w:bookmarkEnd w:id="52"/>
    <w:bookmarkEnd w:id="53"/>
    <w:p>
      <w:pPr>
        <w:widowControl/>
        <w:shd w:val="clear" w:color="auto" w:fill="FFFFFF"/>
        <w:adjustRightInd w:val="0"/>
        <w:spacing w:before="157" w:beforeLines="50" w:after="157" w:afterLines="50" w:line="560" w:lineRule="exact"/>
        <w:jc w:val="center"/>
        <w:textAlignment w:val="baseline"/>
        <w:rPr>
          <w:rFonts w:ascii="方正小标宋_GBK" w:hAnsi="华文中宋" w:eastAsia="方正小标宋_GBK" w:cs="宋体"/>
          <w:kern w:val="0"/>
          <w:sz w:val="44"/>
          <w:szCs w:val="44"/>
        </w:rPr>
      </w:pPr>
      <w:r>
        <w:rPr>
          <w:rFonts w:hint="eastAsia" w:ascii="方正小标宋_GBK" w:hAnsi="华文中宋" w:eastAsia="方正小标宋_GBK"/>
          <w:sz w:val="44"/>
          <w:szCs w:val="44"/>
        </w:rPr>
        <w:t>*</w:t>
      </w:r>
      <w:r>
        <w:rPr>
          <w:rFonts w:ascii="方正小标宋_GBK" w:hAnsi="华文中宋" w:eastAsia="方正小标宋_GBK"/>
          <w:sz w:val="44"/>
          <w:szCs w:val="44"/>
        </w:rPr>
        <w:t>*</w:t>
      </w:r>
      <w:r>
        <w:rPr>
          <w:rFonts w:hint="eastAsia" w:ascii="方正小标宋_GBK" w:hAnsi="华文中宋" w:eastAsia="方正小标宋_GBK" w:cs="宋体"/>
          <w:kern w:val="0"/>
          <w:sz w:val="44"/>
          <w:szCs w:val="44"/>
        </w:rPr>
        <w:t>选址意见书/规划条件通知书</w:t>
      </w:r>
    </w:p>
    <w:p>
      <w:pPr>
        <w:widowControl/>
        <w:shd w:val="clear" w:color="auto" w:fill="FFFFFF"/>
        <w:adjustRightInd w:val="0"/>
        <w:snapToGrid w:val="0"/>
        <w:spacing w:line="560" w:lineRule="exact"/>
        <w:textAlignment w:val="baseline"/>
        <w:rPr>
          <w:rFonts w:ascii="仿宋_GB2312" w:hAnsi="仿宋_GB2312" w:eastAsia="仿宋_GB2312" w:cs="仿宋_GB2312"/>
          <w:sz w:val="32"/>
          <w:szCs w:val="32"/>
        </w:rPr>
      </w:pP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〔选址意见书〕</w:t>
      </w:r>
      <w:r>
        <w:rPr>
          <w:rFonts w:hint="eastAsia" w:ascii="仿宋_GB2312" w:hAnsi="仿宋_GB2312" w:eastAsia="仿宋_GB2312" w:cs="仿宋_GB2312"/>
          <w:sz w:val="32"/>
          <w:szCs w:val="32"/>
        </w:rPr>
        <w:t>（城镇开发边界外）按照</w:t>
      </w:r>
      <w:bookmarkStart w:id="54" w:name="OLE_LINK9"/>
      <w:bookmarkStart w:id="55" w:name="OLE_LINK10"/>
      <w:r>
        <w:rPr>
          <w:rFonts w:hint="eastAsia" w:ascii="仿宋_GB2312" w:hAnsi="仿宋_GB2312" w:eastAsia="仿宋_GB2312" w:cs="仿宋_GB2312"/>
          <w:sz w:val="32"/>
          <w:szCs w:val="32"/>
        </w:rPr>
        <w:t>《中华人民共和国城乡规划法》</w:t>
      </w:r>
      <w:bookmarkEnd w:id="54"/>
      <w:bookmarkEnd w:id="55"/>
      <w:r>
        <w:rPr>
          <w:rFonts w:hint="eastAsia" w:ascii="仿宋_GB2312" w:hAnsi="仿宋_GB2312" w:eastAsia="仿宋_GB2312" w:cs="仿宋_GB2312"/>
          <w:sz w:val="32"/>
          <w:szCs w:val="32"/>
        </w:rPr>
        <w:t>等法律法规、有</w:t>
      </w:r>
      <w:r>
        <w:rPr>
          <w:rFonts w:hint="eastAsia" w:ascii="仿宋_GB2312" w:eastAsia="仿宋_GB2312"/>
          <w:sz w:val="32"/>
          <w:szCs w:val="32"/>
        </w:rPr>
        <w:t>关规定和规划要求</w:t>
      </w:r>
      <w:r>
        <w:rPr>
          <w:rFonts w:hint="eastAsia" w:ascii="仿宋_GB2312" w:hAnsi="仿宋_GB2312" w:eastAsia="仿宋_GB2312" w:cs="仿宋_GB2312"/>
          <w:sz w:val="32"/>
          <w:szCs w:val="32"/>
        </w:rPr>
        <w:t>，依据</w:t>
      </w:r>
      <w:r>
        <w:rPr>
          <w:rFonts w:hint="eastAsia" w:ascii="仿宋_GB2312" w:eastAsia="仿宋_GB2312"/>
          <w:sz w:val="32"/>
          <w:szCs w:val="32"/>
        </w:rPr>
        <w:t>“多评合一”专家论证意见/</w:t>
      </w:r>
      <w:r>
        <w:rPr>
          <w:rFonts w:ascii="仿宋_GB2312" w:eastAsia="仿宋_GB2312"/>
          <w:sz w:val="32"/>
          <w:szCs w:val="32"/>
        </w:rPr>
        <w:t>**</w:t>
      </w:r>
      <w:r>
        <w:rPr>
          <w:rFonts w:hint="eastAsia" w:ascii="仿宋_GB2312" w:hAnsi="仿宋_GB2312" w:eastAsia="仿宋_GB2312" w:cs="仿宋_GB2312"/>
          <w:sz w:val="32"/>
          <w:szCs w:val="32"/>
        </w:rPr>
        <w:t>批复的《</w:t>
      </w:r>
      <w:r>
        <w:rPr>
          <w:rFonts w:ascii="仿宋_GB2312" w:eastAsia="仿宋_GB2312"/>
          <w:sz w:val="32"/>
          <w:szCs w:val="32"/>
        </w:rPr>
        <w:t>****</w:t>
      </w:r>
      <w:r>
        <w:rPr>
          <w:rFonts w:hint="eastAsia" w:ascii="仿宋_GB2312" w:hAnsi="仿宋_GB2312" w:eastAsia="仿宋_GB2312" w:cs="仿宋_GB2312"/>
          <w:sz w:val="32"/>
          <w:szCs w:val="32"/>
        </w:rPr>
        <w:t>规划》（</w:t>
      </w:r>
      <w:r>
        <w:rPr>
          <w:rFonts w:ascii="仿宋_GB2312" w:hAnsi="仿宋_GB2312" w:eastAsia="仿宋_GB2312" w:cs="仿宋_GB2312"/>
          <w:sz w:val="32"/>
          <w:szCs w:val="32"/>
        </w:rPr>
        <w:t>批复文号）</w:t>
      </w:r>
      <w:r>
        <w:rPr>
          <w:rFonts w:hint="eastAsia" w:ascii="仿宋_GB2312" w:hAnsi="仿宋_GB2312" w:eastAsia="仿宋_GB2312" w:cs="仿宋_GB2312"/>
          <w:sz w:val="32"/>
          <w:szCs w:val="32"/>
        </w:rPr>
        <w:t>，同意你单位在位于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镇（街），东至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，西至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，南至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，北至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图示用地范围（详见附图）内选址建设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，主要规划条件如下：</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〔选址意见书〕</w:t>
      </w:r>
      <w:r>
        <w:rPr>
          <w:rFonts w:hint="eastAsia" w:ascii="仿宋_GB2312" w:hAnsi="仿宋_GB2312" w:eastAsia="仿宋_GB2312" w:cs="仿宋_GB2312"/>
          <w:sz w:val="32"/>
          <w:szCs w:val="32"/>
        </w:rPr>
        <w:t>（城镇开发边界内）依据市政府批复的《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控制性</w:t>
      </w:r>
      <w:r>
        <w:rPr>
          <w:rFonts w:ascii="仿宋_GB2312" w:hAnsi="仿宋_GB2312" w:eastAsia="仿宋_GB2312" w:cs="仿宋_GB2312"/>
          <w:sz w:val="32"/>
          <w:szCs w:val="32"/>
        </w:rPr>
        <w:t>详细</w:t>
      </w:r>
      <w:r>
        <w:rPr>
          <w:rFonts w:hint="eastAsia" w:ascii="仿宋_GB2312" w:hAnsi="仿宋_GB2312" w:eastAsia="仿宋_GB2312" w:cs="仿宋_GB2312"/>
          <w:sz w:val="32"/>
          <w:szCs w:val="32"/>
        </w:rPr>
        <w:t>规划》（</w:t>
      </w:r>
      <w:r>
        <w:rPr>
          <w:rFonts w:ascii="仿宋_GB2312" w:hAnsi="仿宋_GB2312" w:eastAsia="仿宋_GB2312" w:cs="仿宋_GB2312"/>
          <w:sz w:val="32"/>
          <w:szCs w:val="32"/>
        </w:rPr>
        <w:t>批复文号）</w:t>
      </w:r>
      <w:r>
        <w:rPr>
          <w:rFonts w:hint="eastAsia" w:ascii="仿宋_GB2312" w:hAnsi="仿宋_GB2312" w:eastAsia="仿宋_GB2312" w:cs="仿宋_GB2312"/>
          <w:sz w:val="32"/>
          <w:szCs w:val="32"/>
        </w:rPr>
        <w:t>，以及《中华人民共和国城乡规划法》等法律法规、有</w:t>
      </w:r>
      <w:r>
        <w:rPr>
          <w:rFonts w:hint="eastAsia" w:ascii="仿宋_GB2312" w:eastAsia="仿宋_GB2312"/>
          <w:sz w:val="32"/>
          <w:szCs w:val="32"/>
        </w:rPr>
        <w:t>关规定和规划要求</w:t>
      </w:r>
      <w:r>
        <w:rPr>
          <w:rFonts w:hint="eastAsia" w:ascii="仿宋_GB2312" w:hAnsi="仿宋_GB2312" w:eastAsia="仿宋_GB2312" w:cs="仿宋_GB2312"/>
          <w:sz w:val="32"/>
          <w:szCs w:val="32"/>
        </w:rPr>
        <w:t>，</w:t>
      </w:r>
      <w:bookmarkStart w:id="56" w:name="OLE_LINK86"/>
      <w:r>
        <w:rPr>
          <w:rFonts w:hint="eastAsia" w:ascii="仿宋_GB2312" w:hAnsi="仿宋_GB2312" w:eastAsia="仿宋_GB2312" w:cs="仿宋_GB2312"/>
          <w:sz w:val="32"/>
          <w:szCs w:val="32"/>
        </w:rPr>
        <w:t>同意你单位在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路图示用地范围（详见附图）内选址建设</w:t>
      </w:r>
      <w:r>
        <w:rPr>
          <w:rFonts w:ascii="仿宋_GB2312" w:hAnsi="仿宋_GB2312" w:eastAsia="仿宋_GB2312" w:cs="仿宋_GB2312"/>
          <w:sz w:val="32"/>
          <w:szCs w:val="32"/>
        </w:rPr>
        <w:t>****</w:t>
      </w:r>
      <w:bookmarkEnd w:id="56"/>
      <w:r>
        <w:rPr>
          <w:rFonts w:hint="eastAsia" w:ascii="仿宋_GB2312" w:hAnsi="仿宋_GB2312" w:eastAsia="仿宋_GB2312" w:cs="仿宋_GB2312"/>
          <w:sz w:val="32"/>
          <w:szCs w:val="32"/>
        </w:rPr>
        <w:t>，主要规划条件如下：</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〔建设用地规划条件通知书〕</w:t>
      </w:r>
      <w:r>
        <w:rPr>
          <w:rFonts w:hint="eastAsia" w:ascii="仿宋_GB2312" w:hAnsi="仿宋_GB2312" w:eastAsia="仿宋_GB2312" w:cs="仿宋_GB2312"/>
          <w:sz w:val="32"/>
          <w:szCs w:val="32"/>
        </w:rPr>
        <w:t>（包括新项目，以及既有项目进行改建、扩建、新建）依据市政府批复的《</w:t>
      </w:r>
      <w:r>
        <w:rPr>
          <w:rFonts w:ascii="仿宋_GB2312" w:eastAsia="仿宋_GB2312"/>
          <w:sz w:val="32"/>
          <w:szCs w:val="32"/>
        </w:rPr>
        <w:t>****</w:t>
      </w:r>
      <w:r>
        <w:rPr>
          <w:rFonts w:hint="eastAsia" w:ascii="仿宋_GB2312" w:hAnsi="仿宋_GB2312" w:eastAsia="仿宋_GB2312" w:cs="仿宋_GB2312"/>
          <w:sz w:val="32"/>
          <w:szCs w:val="32"/>
        </w:rPr>
        <w:t>控制性</w:t>
      </w:r>
      <w:r>
        <w:rPr>
          <w:rFonts w:ascii="仿宋_GB2312" w:hAnsi="仿宋_GB2312" w:eastAsia="仿宋_GB2312" w:cs="仿宋_GB2312"/>
          <w:sz w:val="32"/>
          <w:szCs w:val="32"/>
        </w:rPr>
        <w:t>详细</w:t>
      </w:r>
      <w:r>
        <w:rPr>
          <w:rFonts w:hint="eastAsia" w:ascii="仿宋_GB2312" w:hAnsi="仿宋_GB2312" w:eastAsia="仿宋_GB2312" w:cs="仿宋_GB2312"/>
          <w:sz w:val="32"/>
          <w:szCs w:val="32"/>
        </w:rPr>
        <w:t>规划》（</w:t>
      </w:r>
      <w:r>
        <w:rPr>
          <w:rFonts w:ascii="仿宋_GB2312" w:hAnsi="仿宋_GB2312" w:eastAsia="仿宋_GB2312" w:cs="仿宋_GB2312"/>
          <w:sz w:val="32"/>
          <w:szCs w:val="32"/>
        </w:rPr>
        <w:t>批复文号）</w:t>
      </w:r>
      <w:r>
        <w:rPr>
          <w:rFonts w:hint="eastAsia" w:ascii="仿宋_GB2312" w:hAnsi="仿宋_GB2312" w:eastAsia="仿宋_GB2312" w:cs="仿宋_GB2312"/>
          <w:sz w:val="32"/>
          <w:szCs w:val="32"/>
        </w:rPr>
        <w:t>，以及《中华人民共和国城乡规划法》等法律法规、有</w:t>
      </w:r>
      <w:r>
        <w:rPr>
          <w:rFonts w:hint="eastAsia" w:ascii="仿宋_GB2312" w:eastAsia="仿宋_GB2312"/>
          <w:sz w:val="32"/>
          <w:szCs w:val="32"/>
        </w:rPr>
        <w:t>关规定和规划要求，提出</w:t>
      </w:r>
      <w:r>
        <w:rPr>
          <w:rFonts w:ascii="仿宋_GB2312" w:eastAsia="仿宋_GB2312"/>
          <w:sz w:val="32"/>
          <w:szCs w:val="32"/>
        </w:rPr>
        <w:t>**</w:t>
      </w:r>
      <w:r>
        <w:rPr>
          <w:rFonts w:hint="eastAsia" w:ascii="仿宋_GB2312" w:hAnsi="仿宋_GB2312" w:eastAsia="仿宋_GB2312" w:cs="仿宋_GB2312"/>
          <w:sz w:val="32"/>
          <w:szCs w:val="32"/>
        </w:rPr>
        <w:t>区（市）</w:t>
      </w:r>
      <w:r>
        <w:rPr>
          <w:rFonts w:ascii="仿宋_GB2312" w:eastAsia="仿宋_GB2312"/>
          <w:sz w:val="32"/>
          <w:szCs w:val="32"/>
        </w:rPr>
        <w:t>**</w:t>
      </w:r>
      <w:r>
        <w:rPr>
          <w:rFonts w:hint="eastAsia" w:ascii="仿宋_GB2312" w:hAnsi="仿宋_GB2312" w:eastAsia="仿宋_GB2312" w:cs="仿宋_GB2312"/>
          <w:sz w:val="32"/>
          <w:szCs w:val="32"/>
        </w:rPr>
        <w:t>路图示用地（详见附图）规划条件如下：</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一、项目用地情况</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（一）用地位置：项目位于**路以**，**路以**/位于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镇（街），东至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，西至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，南至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，北至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楷体" w:eastAsia="仿宋_GB2312" w:cs="仿宋_GB2312"/>
          <w:sz w:val="32"/>
          <w:szCs w:val="32"/>
        </w:rPr>
        <w:t>（二）用地面积：</w:t>
      </w:r>
      <w:r>
        <w:rPr>
          <w:rFonts w:hint="eastAsia" w:ascii="仿宋_GB2312" w:hAnsi="仿宋_GB2312" w:eastAsia="仿宋_GB2312" w:cs="仿宋_GB2312"/>
          <w:sz w:val="32"/>
          <w:szCs w:val="32"/>
        </w:rPr>
        <w:t>**平方米（以实测为准）。</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楷体" w:eastAsia="仿宋_GB2312" w:cs="仿宋_GB2312"/>
          <w:sz w:val="32"/>
          <w:szCs w:val="32"/>
        </w:rPr>
        <w:t>（三）用地性质：</w:t>
      </w:r>
      <w:r>
        <w:rPr>
          <w:rFonts w:hint="eastAsia" w:ascii="仿宋_GB2312" w:hAnsi="仿宋_GB2312" w:eastAsia="仿宋_GB2312" w:cs="仿宋_GB2312"/>
          <w:sz w:val="32"/>
          <w:szCs w:val="32"/>
        </w:rPr>
        <w:t>标注用地代码（兼容用地应注明各用地或建筑面积比例，并根据项目实际情况注明建设内容及相关要约）。</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（四）不动产单元代码：*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二、用地使用强度</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楷体" w:eastAsia="仿宋_GB2312" w:cs="仿宋_GB2312"/>
          <w:sz w:val="32"/>
          <w:szCs w:val="32"/>
        </w:rPr>
        <w:t>（一）容积率：</w:t>
      </w:r>
      <w:r>
        <w:rPr>
          <w:rFonts w:hint="eastAsia" w:ascii="仿宋_GB2312" w:hAnsi="仿宋_GB2312" w:eastAsia="仿宋_GB2312" w:cs="仿宋_GB2312"/>
          <w:sz w:val="32"/>
          <w:szCs w:val="32"/>
        </w:rPr>
        <w:t>**（</w:t>
      </w:r>
      <w:r>
        <w:rPr>
          <w:rFonts w:hint="eastAsia" w:ascii="仿宋_GB2312" w:eastAsia="仿宋_GB2312"/>
          <w:sz w:val="32"/>
          <w:szCs w:val="32"/>
        </w:rPr>
        <w:t>明确容积率上限、下限；</w:t>
      </w:r>
      <w:r>
        <w:rPr>
          <w:rFonts w:hint="eastAsia" w:ascii="仿宋_GB2312" w:hAnsi="仿宋_GB2312" w:eastAsia="仿宋_GB2312" w:cs="仿宋_GB2312"/>
          <w:sz w:val="32"/>
          <w:szCs w:val="32"/>
        </w:rPr>
        <w:t>兼容类用地应注明各类用地计入容积率的建筑面积上限，根据项目具体情况，表述地下建筑规模；建筑面积应按照每个自然层楼（地）面处</w:t>
      </w:r>
      <w:r>
        <w:rPr>
          <w:rFonts w:ascii="仿宋_GB2312" w:hAnsi="仿宋_GB2312" w:eastAsia="仿宋_GB2312" w:cs="仿宋_GB2312"/>
          <w:sz w:val="32"/>
          <w:szCs w:val="32"/>
        </w:rPr>
        <w:t>外围护结构外表面所围空间的水平投影面积计算</w:t>
      </w:r>
      <w:r>
        <w:rPr>
          <w:rFonts w:hint="eastAsia" w:ascii="仿宋_GB2312" w:hAnsi="仿宋_GB2312" w:eastAsia="仿宋_GB2312" w:cs="仿宋_GB2312"/>
          <w:sz w:val="32"/>
          <w:szCs w:val="32"/>
        </w:rPr>
        <w:t>）。</w:t>
      </w:r>
    </w:p>
    <w:p>
      <w:pPr>
        <w:widowControl/>
        <w:shd w:val="clear" w:color="auto" w:fill="FFFFFF"/>
        <w:adjustRightInd w:val="0"/>
        <w:snapToGrid w:val="0"/>
        <w:spacing w:line="560" w:lineRule="exact"/>
        <w:ind w:firstLine="640" w:firstLineChars="200"/>
        <w:textAlignment w:val="baseline"/>
        <w:rPr>
          <w:rFonts w:ascii="仿宋_GB2312" w:hAnsi="楷体" w:eastAsia="仿宋_GB2312" w:cs="仿宋_GB2312"/>
          <w:sz w:val="32"/>
          <w:szCs w:val="32"/>
        </w:rPr>
      </w:pPr>
      <w:r>
        <w:rPr>
          <w:rFonts w:hint="eastAsia" w:ascii="仿宋_GB2312" w:hAnsi="楷体" w:eastAsia="仿宋_GB2312" w:cs="仿宋_GB2312"/>
          <w:sz w:val="32"/>
          <w:szCs w:val="32"/>
        </w:rPr>
        <w:t>（二）建筑密度：</w:t>
      </w:r>
      <w:r>
        <w:rPr>
          <w:rFonts w:hint="eastAsia" w:ascii="仿宋_GB2312" w:hAnsi="仿宋_GB2312" w:eastAsia="仿宋_GB2312" w:cs="仿宋_GB2312"/>
          <w:sz w:val="32"/>
          <w:szCs w:val="32"/>
        </w:rPr>
        <w:t>**。</w:t>
      </w:r>
    </w:p>
    <w:p>
      <w:pPr>
        <w:widowControl/>
        <w:shd w:val="clear" w:color="auto" w:fill="FFFFFF"/>
        <w:adjustRightInd w:val="0"/>
        <w:snapToGrid w:val="0"/>
        <w:spacing w:line="560" w:lineRule="exact"/>
        <w:ind w:firstLine="640" w:firstLineChars="200"/>
        <w:textAlignment w:val="baseline"/>
        <w:rPr>
          <w:rFonts w:ascii="仿宋_GB2312" w:hAnsi="楷体" w:eastAsia="仿宋_GB2312" w:cs="仿宋_GB2312"/>
          <w:sz w:val="32"/>
          <w:szCs w:val="32"/>
        </w:rPr>
      </w:pPr>
      <w:r>
        <w:rPr>
          <w:rFonts w:hint="eastAsia" w:ascii="仿宋_GB2312" w:hAnsi="楷体" w:eastAsia="仿宋_GB2312" w:cs="仿宋_GB2312"/>
          <w:sz w:val="32"/>
          <w:szCs w:val="32"/>
        </w:rPr>
        <w:t>（三）绿地率：</w:t>
      </w:r>
      <w:r>
        <w:rPr>
          <w:rFonts w:hint="eastAsia" w:ascii="仿宋_GB2312" w:hAnsi="仿宋_GB2312" w:eastAsia="仿宋_GB2312" w:cs="仿宋_GB2312"/>
          <w:sz w:val="32"/>
          <w:szCs w:val="32"/>
        </w:rPr>
        <w:t>**。</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楷体" w:eastAsia="仿宋_GB2312" w:cs="仿宋_GB2312"/>
          <w:sz w:val="32"/>
          <w:szCs w:val="32"/>
        </w:rPr>
        <w:t>（四）建筑高度：</w:t>
      </w:r>
      <w:r>
        <w:rPr>
          <w:rFonts w:hint="eastAsia" w:ascii="仿宋_GB2312" w:hAnsi="仿宋_GB2312" w:eastAsia="仿宋_GB2312" w:cs="仿宋_GB2312"/>
          <w:sz w:val="32"/>
          <w:szCs w:val="32"/>
        </w:rPr>
        <w:t>**（需告知建筑高度按照何种计算方式进行控制。</w:t>
      </w:r>
      <w:r>
        <w:rPr>
          <w:rFonts w:hint="eastAsia" w:ascii="仿宋_GB2312" w:hAnsi="楷体" w:eastAsia="仿宋_GB2312" w:cs="仿宋_GB2312"/>
          <w:sz w:val="32"/>
          <w:szCs w:val="32"/>
        </w:rPr>
        <w:t>不同形式屋顶建筑高度计算方式不同，当同一座建筑有多种屋面形式，或多个室外设计地坪时建筑高度应分别计算后取其中最大值：1</w:t>
      </w:r>
      <w:r>
        <w:rPr>
          <w:rFonts w:ascii="仿宋_GB2312" w:hAnsi="楷体" w:eastAsia="仿宋_GB2312" w:cs="仿宋_GB2312"/>
          <w:sz w:val="32"/>
          <w:szCs w:val="32"/>
        </w:rPr>
        <w:t>.</w:t>
      </w:r>
      <w:r>
        <w:rPr>
          <w:rFonts w:hint="eastAsia" w:ascii="仿宋_GB2312" w:hAnsi="楷体" w:eastAsia="仿宋_GB2312" w:cs="仿宋_GB2312"/>
          <w:sz w:val="32"/>
          <w:szCs w:val="32"/>
        </w:rPr>
        <w:t>平屋顶建筑高度应按室外设计地坪至建筑物女儿墙顶点的高度计算，无女儿墙的建筑应按至其屋面檐口顶点的高度计算。2</w:t>
      </w:r>
      <w:r>
        <w:rPr>
          <w:rFonts w:ascii="仿宋_GB2312" w:hAnsi="楷体" w:eastAsia="仿宋_GB2312" w:cs="仿宋_GB2312"/>
          <w:sz w:val="32"/>
          <w:szCs w:val="32"/>
        </w:rPr>
        <w:t>.</w:t>
      </w:r>
      <w:r>
        <w:rPr>
          <w:rFonts w:hint="eastAsia" w:ascii="仿宋_GB2312" w:hAnsi="楷体" w:eastAsia="仿宋_GB2312" w:cs="仿宋_GB2312"/>
          <w:sz w:val="32"/>
          <w:szCs w:val="32"/>
        </w:rPr>
        <w:t>坡屋顶建筑应分别计算檐口及屋脊高度，檐口高度应按室外设计地坪至屋面檐口或坡屋面最低点的高度计算，屋脊高度应按室外设计地坪至屋脊的高度计算。</w:t>
      </w:r>
      <w:r>
        <w:rPr>
          <w:rFonts w:ascii="仿宋_GB2312" w:hAnsi="楷体" w:eastAsia="仿宋_GB2312" w:cs="仿宋_GB2312"/>
          <w:sz w:val="32"/>
          <w:szCs w:val="32"/>
        </w:rPr>
        <w:t>3.</w:t>
      </w:r>
      <w:r>
        <w:rPr>
          <w:rFonts w:hint="eastAsia" w:ascii="仿宋_GB2312" w:hAnsi="楷体" w:eastAsia="仿宋_GB2312" w:cs="仿宋_GB2312"/>
          <w:sz w:val="32"/>
          <w:szCs w:val="32"/>
        </w:rPr>
        <w:t>机场、广播电视、电信、微波通信、气象台、卫星地面站、军事要塞等设施的技术作业控制区内及机场航线控制范围内的建筑，建筑高度应按建筑物室外设计地坪至建（构）筑物最高点计算。</w:t>
      </w:r>
      <w:r>
        <w:rPr>
          <w:rFonts w:ascii="仿宋_GB2312" w:hAnsi="楷体" w:eastAsia="仿宋_GB2312" w:cs="仿宋_GB2312"/>
          <w:sz w:val="32"/>
          <w:szCs w:val="32"/>
        </w:rPr>
        <w:t>4.</w:t>
      </w:r>
      <w:r>
        <w:rPr>
          <w:rFonts w:hint="eastAsia" w:ascii="仿宋_GB2312" w:hAnsi="楷体" w:eastAsia="仿宋_GB2312" w:cs="仿宋_GB2312"/>
          <w:sz w:val="32"/>
          <w:szCs w:val="32"/>
        </w:rPr>
        <w:t>历史建筑，历史文化名城名镇名村、历史文化街区、文物保护单位、风景名胜区、自然保护区的保护规划区内的建筑，建筑高度应按建筑物室外设计地坪至建（构）筑物最高点计算）。</w:t>
      </w:r>
    </w:p>
    <w:p>
      <w:pPr>
        <w:widowControl/>
        <w:shd w:val="clear" w:color="auto" w:fill="FFFFFF"/>
        <w:adjustRightInd w:val="0"/>
        <w:snapToGrid w:val="0"/>
        <w:spacing w:line="560" w:lineRule="exact"/>
        <w:ind w:firstLine="640" w:firstLineChars="200"/>
        <w:textAlignment w:val="baseline"/>
        <w:rPr>
          <w:rFonts w:ascii="仿宋_GB2312" w:hAnsi="楷体" w:eastAsia="仿宋_GB2312" w:cs="仿宋_GB2312"/>
          <w:sz w:val="32"/>
          <w:szCs w:val="32"/>
        </w:rPr>
      </w:pPr>
      <w:r>
        <w:rPr>
          <w:rFonts w:hint="eastAsia" w:ascii="仿宋_GB2312" w:hAnsi="楷体" w:eastAsia="仿宋_GB2312" w:cs="仿宋_GB2312"/>
          <w:sz w:val="32"/>
          <w:szCs w:val="32"/>
        </w:rPr>
        <w:t>（五）指标说明：本规划条件所述建筑面积按照《青岛市建筑工程建筑面积及规划指标计算技术细则（2</w:t>
      </w:r>
      <w:r>
        <w:rPr>
          <w:rFonts w:ascii="仿宋_GB2312" w:hAnsi="楷体" w:eastAsia="仿宋_GB2312" w:cs="仿宋_GB2312"/>
          <w:sz w:val="32"/>
          <w:szCs w:val="32"/>
        </w:rPr>
        <w:t>024</w:t>
      </w:r>
      <w:r>
        <w:rPr>
          <w:rFonts w:hint="eastAsia" w:ascii="仿宋_GB2312" w:hAnsi="楷体" w:eastAsia="仿宋_GB2312" w:cs="仿宋_GB2312"/>
          <w:sz w:val="32"/>
          <w:szCs w:val="32"/>
        </w:rPr>
        <w:t>年版）》（青自然资规字〔2024〕126号）及相关规范要求执行。</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三、规划设计要求</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楷体" w:eastAsia="仿宋_GB2312" w:cs="仿宋_GB2312"/>
          <w:sz w:val="32"/>
          <w:szCs w:val="32"/>
        </w:rPr>
        <w:t>（一）建筑退让：</w:t>
      </w:r>
      <w:r>
        <w:rPr>
          <w:rFonts w:hint="eastAsia" w:ascii="仿宋_GB2312" w:hAnsi="仿宋_GB2312" w:eastAsia="仿宋_GB2312" w:cs="仿宋_GB2312"/>
          <w:sz w:val="32"/>
          <w:szCs w:val="32"/>
        </w:rPr>
        <w:t>**。</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楷体" w:eastAsia="仿宋_GB2312" w:cs="仿宋_GB2312"/>
          <w:sz w:val="32"/>
          <w:szCs w:val="32"/>
        </w:rPr>
        <w:t>（二）建筑间距：</w:t>
      </w:r>
      <w:r>
        <w:rPr>
          <w:rFonts w:hint="eastAsia" w:ascii="仿宋_GB2312" w:hAnsi="仿宋_GB2312" w:eastAsia="仿宋_GB2312" w:cs="仿宋_GB2312"/>
          <w:sz w:val="32"/>
          <w:szCs w:val="32"/>
        </w:rPr>
        <w:t>**，</w:t>
      </w:r>
      <w:r>
        <w:rPr>
          <w:rFonts w:hint="eastAsia" w:ascii="仿宋_GB2312" w:eastAsia="仿宋_GB2312"/>
          <w:sz w:val="32"/>
          <w:szCs w:val="32"/>
        </w:rPr>
        <w:t>新建建筑之间、</w:t>
      </w:r>
      <w:r>
        <w:rPr>
          <w:rFonts w:hint="eastAsia" w:ascii="仿宋_GB2312" w:hAnsi="仿宋_GB2312" w:eastAsia="仿宋_GB2312" w:cs="仿宋_GB2312"/>
          <w:sz w:val="32"/>
          <w:szCs w:val="32"/>
        </w:rPr>
        <w:t>新建建筑与周边建筑保持合法间距，满足</w:t>
      </w:r>
      <w:r>
        <w:rPr>
          <w:rFonts w:hint="eastAsia" w:ascii="仿宋_GB2312" w:eastAsia="仿宋_GB2312"/>
          <w:sz w:val="32"/>
          <w:szCs w:val="32"/>
        </w:rPr>
        <w:t>《青岛市国土空间规划管理技术规定》</w:t>
      </w:r>
      <w:r>
        <w:rPr>
          <w:rFonts w:hint="eastAsia" w:ascii="仿宋_GB2312" w:hAnsi="仿宋_GB2312" w:eastAsia="仿宋_GB2312" w:cs="仿宋_GB2312"/>
          <w:sz w:val="32"/>
          <w:szCs w:val="32"/>
        </w:rPr>
        <w:t>及相关法规、规范文件要求。</w:t>
      </w:r>
    </w:p>
    <w:p>
      <w:pPr>
        <w:widowControl/>
        <w:shd w:val="clear" w:color="auto" w:fill="FFFFFF"/>
        <w:adjustRightInd w:val="0"/>
        <w:snapToGri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（三）竖向设计：充分考虑地块内的土方平衡，地块室外地坪标高应与交通组织、绿化环境、周边城市道路及现状其他房屋地形标高相衔接,并满足排水及管线设置要求。</w:t>
      </w:r>
      <w:bookmarkStart w:id="57" w:name="OLE_LINK102"/>
      <w:bookmarkStart w:id="58" w:name="OLE_LINK101"/>
      <w:r>
        <w:rPr>
          <w:rFonts w:hint="eastAsia" w:ascii="仿宋_GB2312" w:eastAsia="仿宋_GB2312"/>
          <w:sz w:val="32"/>
          <w:szCs w:val="32"/>
        </w:rPr>
        <w:t>地形复杂的应合理规划利用地形。</w:t>
      </w:r>
    </w:p>
    <w:bookmarkEnd w:id="57"/>
    <w:bookmarkEnd w:id="58"/>
    <w:p>
      <w:pPr>
        <w:widowControl/>
        <w:shd w:val="clear" w:color="auto" w:fill="FFFFFF"/>
        <w:adjustRightInd w:val="0"/>
        <w:snapToGrid w:val="0"/>
        <w:spacing w:line="560" w:lineRule="exact"/>
        <w:ind w:firstLine="640" w:firstLineChars="200"/>
        <w:textAlignment w:val="baseline"/>
        <w:rPr>
          <w:rFonts w:ascii="仿宋_GB2312" w:hAnsi="楷体" w:eastAsia="仿宋_GB2312" w:cs="仿宋_GB2312"/>
          <w:sz w:val="32"/>
          <w:szCs w:val="32"/>
        </w:rPr>
      </w:pPr>
      <w:r>
        <w:rPr>
          <w:rFonts w:hint="eastAsia" w:ascii="仿宋_GB2312" w:hAnsi="楷体" w:eastAsia="仿宋_GB2312" w:cs="仿宋_GB2312"/>
          <w:sz w:val="32"/>
          <w:szCs w:val="32"/>
        </w:rPr>
        <w:t>（四）交通组织、出入口位置：</w:t>
      </w:r>
      <w:r>
        <w:rPr>
          <w:rFonts w:hint="eastAsia" w:ascii="仿宋_GB2312" w:eastAsia="仿宋_GB2312"/>
          <w:sz w:val="32"/>
          <w:szCs w:val="32"/>
        </w:rPr>
        <w:t>合理组织规划用地内的交通流线，出入口位置依据控制性详细规划设置。</w:t>
      </w:r>
    </w:p>
    <w:p>
      <w:pPr>
        <w:widowControl/>
        <w:shd w:val="clear" w:color="auto" w:fill="FFFFFF"/>
        <w:adjustRightInd w:val="0"/>
        <w:snapToGrid w:val="0"/>
        <w:spacing w:line="560" w:lineRule="exact"/>
        <w:ind w:firstLine="640" w:firstLineChars="200"/>
        <w:textAlignment w:val="baseline"/>
        <w:rPr>
          <w:rFonts w:ascii="仿宋_GB2312" w:hAnsi="楷体" w:eastAsia="仿宋_GB2312" w:cs="仿宋_GB2312"/>
          <w:sz w:val="32"/>
          <w:szCs w:val="32"/>
        </w:rPr>
      </w:pPr>
      <w:r>
        <w:rPr>
          <w:rFonts w:hint="eastAsia" w:ascii="仿宋_GB2312" w:hAnsi="楷体" w:eastAsia="仿宋_GB2312" w:cs="仿宋_GB2312"/>
          <w:sz w:val="32"/>
          <w:szCs w:val="32"/>
        </w:rPr>
        <w:t>（五）停车规模：**，按照《青岛市市区公共服务设施配套标准及规划导则》（青自然资规字〔2023〕278号）及相关法规要求对各类建筑明确停车设施配置的具体数额。配建的停车场应和项目主体工程同步规划、同步建设、同步验收、同步交付使用。</w:t>
      </w:r>
    </w:p>
    <w:p>
      <w:pPr>
        <w:widowControl/>
        <w:shd w:val="clear" w:color="auto" w:fill="FFFFFF"/>
        <w:adjustRightInd w:val="0"/>
        <w:snapToGrid w:val="0"/>
        <w:spacing w:line="560" w:lineRule="exact"/>
        <w:ind w:firstLine="640" w:firstLineChars="200"/>
        <w:textAlignment w:val="baseline"/>
        <w:rPr>
          <w:rFonts w:ascii="仿宋_GB2312" w:hAnsi="楷体" w:eastAsia="仿宋_GB2312" w:cs="仿宋_GB2312"/>
          <w:sz w:val="32"/>
          <w:szCs w:val="32"/>
        </w:rPr>
      </w:pPr>
      <w:r>
        <w:rPr>
          <w:rFonts w:hint="eastAsia" w:ascii="仿宋_GB2312" w:hAnsi="楷体" w:eastAsia="仿宋_GB2312" w:cs="仿宋_GB2312"/>
          <w:sz w:val="32"/>
          <w:szCs w:val="32"/>
        </w:rPr>
        <w:t>（六）地下空间：应合理论证地下空间开发深度，根据项目情况具体表述。</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楷体" w:eastAsia="仿宋_GB2312" w:cs="仿宋_GB2312"/>
          <w:sz w:val="32"/>
          <w:szCs w:val="32"/>
        </w:rPr>
        <w:t>（七）绿地系统：应</w:t>
      </w:r>
      <w:r>
        <w:rPr>
          <w:rFonts w:hint="eastAsia" w:ascii="仿宋_GB2312" w:hAnsi="仿宋_GB2312" w:eastAsia="仿宋_GB2312" w:cs="仿宋_GB2312"/>
          <w:sz w:val="32"/>
          <w:szCs w:val="32"/>
        </w:rPr>
        <w:t>合理配置集中公共绿地及公共开放空间，根据项目情况具体表述。</w:t>
      </w:r>
    </w:p>
    <w:p>
      <w:pPr>
        <w:widowControl/>
        <w:shd w:val="clear" w:color="auto" w:fill="FFFFFF"/>
        <w:adjustRightInd w:val="0"/>
        <w:snapToGrid w:val="0"/>
        <w:spacing w:line="560" w:lineRule="exact"/>
        <w:ind w:firstLine="640" w:firstLineChars="200"/>
        <w:textAlignment w:val="baseline"/>
        <w:rPr>
          <w:rFonts w:ascii="仿宋_GB2312" w:hAnsi="楷体" w:eastAsia="仿宋_GB2312" w:cs="仿宋_GB2312"/>
          <w:sz w:val="32"/>
          <w:szCs w:val="32"/>
        </w:rPr>
      </w:pPr>
      <w:r>
        <w:rPr>
          <w:rFonts w:hint="eastAsia" w:ascii="仿宋_GB2312" w:hAnsi="楷体" w:eastAsia="仿宋_GB2312" w:cs="仿宋_GB2312"/>
          <w:sz w:val="32"/>
          <w:szCs w:val="32"/>
        </w:rPr>
        <w:t>（八）非居住类项目不得采用住宅套型设计。</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四、公共服务设施配套设置要求</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eastAsia="仿宋_GB2312"/>
          <w:sz w:val="32"/>
          <w:szCs w:val="32"/>
        </w:rPr>
        <w:t>按照现行《青岛市市区公共服务设施配套标准及规划导则》及相关规范配齐各类配套设施</w:t>
      </w:r>
      <w:r>
        <w:rPr>
          <w:rFonts w:hint="eastAsia" w:ascii="仿宋_GB2312" w:hAnsi="仿宋_GB2312" w:eastAsia="仿宋_GB2312" w:cs="仿宋_GB2312"/>
          <w:sz w:val="32"/>
          <w:szCs w:val="32"/>
        </w:rPr>
        <w:t>，明确各项配套设施的规模和配建要求。</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五、管线及附属设施要求</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结合项目需求对项目配套建设的市政工程（给水、雨水、污水、供电、燃气、通信、有线电视等管线及附属设施）进行管线综合设计，并</w:t>
      </w:r>
      <w:r>
        <w:rPr>
          <w:rFonts w:hint="eastAsia" w:ascii="仿宋_GB2312" w:eastAsia="仿宋_GB2312"/>
          <w:sz w:val="32"/>
          <w:szCs w:val="32"/>
        </w:rPr>
        <w:t>考虑附属设施的布置</w:t>
      </w:r>
      <w:r>
        <w:rPr>
          <w:rFonts w:hint="eastAsia" w:ascii="仿宋_GB2312" w:hAnsi="仿宋_GB2312" w:eastAsia="仿宋_GB2312" w:cs="仿宋_GB2312"/>
          <w:sz w:val="32"/>
          <w:szCs w:val="32"/>
        </w:rPr>
        <w:t>。</w:t>
      </w:r>
    </w:p>
    <w:p>
      <w:pPr>
        <w:keepNext/>
        <w:keepLines/>
        <w:spacing w:line="560" w:lineRule="exact"/>
        <w:ind w:firstLine="640" w:firstLineChars="200"/>
        <w:outlineLvl w:val="3"/>
        <w:rPr>
          <w:rFonts w:ascii="黑体" w:hAnsi="黑体" w:eastAsia="黑体"/>
          <w:bCs/>
          <w:sz w:val="32"/>
          <w:szCs w:val="28"/>
        </w:rPr>
      </w:pPr>
      <w:r>
        <w:rPr>
          <w:rFonts w:hint="eastAsia" w:ascii="黑体" w:hAnsi="黑体" w:eastAsia="黑体"/>
          <w:bCs/>
          <w:sz w:val="32"/>
          <w:szCs w:val="28"/>
        </w:rPr>
        <w:t>六、告知事项</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eastAsia="仿宋_GB2312"/>
          <w:sz w:val="32"/>
          <w:szCs w:val="32"/>
        </w:rPr>
        <w:t>建设单位委托设计单位按照《青岛市建设工程设计方案编制导则（试行）》（青自然资规字〔</w:t>
      </w:r>
      <w:r>
        <w:rPr>
          <w:rFonts w:ascii="仿宋_GB2312" w:eastAsia="仿宋_GB2312"/>
          <w:sz w:val="32"/>
          <w:szCs w:val="32"/>
        </w:rPr>
        <w:t>2024</w:t>
      </w:r>
      <w:r>
        <w:rPr>
          <w:rFonts w:hint="eastAsia" w:ascii="仿宋_GB2312" w:eastAsia="仿宋_GB2312"/>
          <w:sz w:val="32"/>
          <w:szCs w:val="32"/>
        </w:rPr>
        <w:t>〕</w:t>
      </w:r>
      <w:r>
        <w:rPr>
          <w:rFonts w:ascii="仿宋_GB2312" w:eastAsia="仿宋_GB2312"/>
          <w:sz w:val="32"/>
          <w:szCs w:val="32"/>
        </w:rPr>
        <w:t>8</w:t>
      </w:r>
      <w:r>
        <w:rPr>
          <w:rFonts w:hint="eastAsia" w:ascii="仿宋_GB2312" w:eastAsia="仿宋_GB2312"/>
          <w:sz w:val="32"/>
          <w:szCs w:val="32"/>
        </w:rPr>
        <w:t>号）及有关标准规范、技术规定编制设计方案</w:t>
      </w:r>
      <w:r>
        <w:rPr>
          <w:rFonts w:hint="eastAsia" w:ascii="仿宋_GB2312" w:hAnsi="仿宋_GB2312" w:eastAsia="仿宋_GB2312" w:cs="仿宋_GB2312"/>
          <w:sz w:val="32"/>
          <w:szCs w:val="32"/>
        </w:rPr>
        <w:t>。</w:t>
      </w:r>
    </w:p>
    <w:p>
      <w:pPr>
        <w:adjustRightInd w:val="0"/>
        <w:spacing w:line="560" w:lineRule="exact"/>
        <w:ind w:firstLine="640" w:firstLineChars="200"/>
        <w:textAlignment w:val="baseline"/>
        <w:rPr>
          <w:rFonts w:ascii="仿宋_GB2312" w:eastAsia="仿宋_GB2312"/>
          <w:sz w:val="32"/>
          <w:szCs w:val="32"/>
        </w:rPr>
      </w:pPr>
      <w:r>
        <w:rPr>
          <w:rFonts w:hint="eastAsia" w:ascii="仿宋_GB2312" w:eastAsia="仿宋_GB2312"/>
          <w:sz w:val="32"/>
          <w:szCs w:val="32"/>
        </w:rPr>
        <w:t>（二）设计方案可能涉及征求上级部门意见、提交市国土空间规划委员会审议、向人大有关专门委员会报告、专家论证、公示、听证、方案联审等特殊程序。其中，批前公示承诺时限</w:t>
      </w:r>
      <w:r>
        <w:rPr>
          <w:rFonts w:ascii="仿宋_GB2312" w:eastAsia="仿宋_GB2312"/>
          <w:sz w:val="32"/>
          <w:szCs w:val="32"/>
        </w:rPr>
        <w:t>7</w:t>
      </w:r>
      <w:r>
        <w:rPr>
          <w:rFonts w:hint="eastAsia" w:ascii="仿宋_GB2312" w:eastAsia="仿宋_GB2312"/>
          <w:sz w:val="32"/>
          <w:szCs w:val="32"/>
        </w:rPr>
        <w:t>个工作日（历史城区内2</w:t>
      </w:r>
      <w:r>
        <w:rPr>
          <w:rFonts w:ascii="仿宋_GB2312" w:eastAsia="仿宋_GB2312"/>
          <w:sz w:val="32"/>
          <w:szCs w:val="32"/>
        </w:rPr>
        <w:t>0</w:t>
      </w:r>
      <w:r>
        <w:rPr>
          <w:rFonts w:hint="eastAsia" w:ascii="仿宋_GB2312" w:eastAsia="仿宋_GB2312"/>
          <w:sz w:val="32"/>
          <w:szCs w:val="32"/>
        </w:rPr>
        <w:t>个工作日）。</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（三）设计单位在进行规划设计时不得擅自改变自然资源和规划主管部门核发的规划条件，不得违反国家、地方</w:t>
      </w:r>
      <w:r>
        <w:rPr>
          <w:rFonts w:hint="eastAsia" w:ascii="仿宋_GB2312" w:eastAsia="仿宋_GB2312"/>
          <w:sz w:val="32"/>
          <w:szCs w:val="32"/>
        </w:rPr>
        <w:t>有关标准规范、技术规定</w:t>
      </w:r>
      <w:r>
        <w:rPr>
          <w:rFonts w:hint="eastAsia" w:ascii="仿宋_GB2312" w:hAnsi="仿宋_GB2312" w:eastAsia="仿宋_GB2312" w:cs="仿宋_GB2312"/>
          <w:sz w:val="32"/>
          <w:szCs w:val="32"/>
        </w:rPr>
        <w:t>。对有关的经济技术指标以及公共服务设施配置的规模等级等应当在总平面图中列表标明。</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（四）建设单位或个人在取得土地使用权证或者其他使用土地的证明文件前，应当向自然资源和规划主管部门申请核发《建设用地规划许可证》。</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（五）有效期：</w:t>
      </w:r>
      <w:bookmarkStart w:id="59" w:name="OLE_LINK2"/>
      <w:bookmarkStart w:id="60" w:name="OLE_LINK1"/>
      <w:r>
        <w:rPr>
          <w:rFonts w:hint="eastAsia" w:ascii="仿宋_GB2312" w:hAnsi="仿宋_GB2312" w:eastAsia="仿宋_GB2312" w:cs="仿宋_GB2312"/>
          <w:sz w:val="32"/>
          <w:szCs w:val="32"/>
        </w:rPr>
        <w:t>此意见书</w:t>
      </w:r>
      <w:r>
        <w:rPr>
          <w:rFonts w:hint="eastAsia" w:ascii="仿宋_GB2312" w:eastAsia="仿宋_GB2312"/>
          <w:sz w:val="32"/>
          <w:szCs w:val="32"/>
        </w:rPr>
        <w:t>自核发之日起三年内，</w:t>
      </w:r>
      <w:r>
        <w:rPr>
          <w:rFonts w:hint="eastAsia" w:ascii="仿宋_GB2312" w:hAnsi="仿宋_GB2312" w:eastAsia="仿宋_GB2312" w:cs="仿宋_GB2312"/>
          <w:sz w:val="32"/>
          <w:szCs w:val="32"/>
        </w:rPr>
        <w:t>未取得《建设用地规划许可证》且未被批准延期的，则</w:t>
      </w:r>
      <w:r>
        <w:rPr>
          <w:rFonts w:hint="eastAsia" w:ascii="仿宋_GB2312" w:eastAsia="仿宋_GB2312"/>
          <w:sz w:val="32"/>
          <w:szCs w:val="32"/>
        </w:rPr>
        <w:t>《建设项目用地预审与选址意见书》</w:t>
      </w:r>
      <w:r>
        <w:rPr>
          <w:rFonts w:hint="eastAsia" w:ascii="仿宋_GB2312" w:hAnsi="仿宋_GB2312" w:eastAsia="仿宋_GB2312" w:cs="仿宋_GB2312"/>
          <w:sz w:val="32"/>
          <w:szCs w:val="32"/>
        </w:rPr>
        <w:t>失效；因正当理由需要申请延期的，应当在有效期届满30日前提出申请，符合条件的，可以批准延期一次，延长期限不得超过半年。</w:t>
      </w:r>
      <w:bookmarkEnd w:id="59"/>
      <w:bookmarkEnd w:id="60"/>
      <w:r>
        <w:rPr>
          <w:rFonts w:hint="eastAsia" w:ascii="仿宋_GB2312" w:hAnsi="仿宋_GB2312" w:eastAsia="仿宋_GB2312" w:cs="仿宋_GB2312"/>
          <w:sz w:val="32"/>
          <w:szCs w:val="32"/>
        </w:rPr>
        <w:t>（建设项目选址意见书）</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此通知书自发出之日起一年内，未签订土地使用权出让合同的，则自行失效；逾期应当向自然资源和规划主管部门重新确认。（建设用地规划规划条件通知书）</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（六）其他未尽事宜，按照国家和省市有关规定和规范执行。</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（七）建设项目如涉及以下内容，各部门可根据</w:t>
      </w:r>
      <w:r>
        <w:rPr>
          <w:rFonts w:ascii="仿宋_GB2312" w:hAnsi="仿宋_GB2312" w:eastAsia="仿宋_GB2312" w:cs="仿宋_GB2312"/>
          <w:sz w:val="32"/>
          <w:szCs w:val="32"/>
        </w:rPr>
        <w:t>项目</w:t>
      </w:r>
      <w:r>
        <w:rPr>
          <w:rFonts w:hint="eastAsia" w:ascii="仿宋_GB2312" w:hAnsi="仿宋_GB2312" w:eastAsia="仿宋_GB2312" w:cs="仿宋_GB2312"/>
          <w:sz w:val="32"/>
          <w:szCs w:val="32"/>
        </w:rPr>
        <w:t>情况选用，纳入告知事项：</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〔建筑高度〕</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涉及净空要求的项目</w:t>
      </w:r>
      <w:r>
        <w:rPr>
          <w:rFonts w:hint="eastAsia" w:ascii="仿宋_GB2312" w:hAnsi="仿宋_GB2312" w:eastAsia="仿宋_GB2312" w:cs="仿宋_GB2312"/>
          <w:sz w:val="32"/>
          <w:szCs w:val="32"/>
        </w:rPr>
        <w:t>，应注明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建筑规划设计应符合《青岛市民用机场净空和电磁环境保护办法》（青岛市人民政府令242号）等</w:t>
      </w:r>
      <w:r>
        <w:rPr>
          <w:rFonts w:ascii="仿宋_GB2312" w:hAnsi="仿宋_GB2312" w:eastAsia="仿宋_GB2312" w:cs="仿宋_GB2312"/>
          <w:sz w:val="32"/>
          <w:szCs w:val="32"/>
        </w:rPr>
        <w:t>规定</w:t>
      </w:r>
      <w:r>
        <w:rPr>
          <w:rFonts w:hint="eastAsia" w:ascii="仿宋_GB2312" w:hAnsi="仿宋_GB2312" w:eastAsia="仿宋_GB2312" w:cs="仿宋_GB2312"/>
          <w:sz w:val="32"/>
          <w:szCs w:val="32"/>
        </w:rPr>
        <w:t>的要求；对建设项目可能影响机场净空保护的应注明：书面征求民航管理机构（中国民用航空青岛安全监督管理局）的意见；对建设项目可能影响机场电磁环境保护的应注明：书面征求民航空管机构（中国民用航空青岛空中交通管理站）或机场管理机构（青岛国际机场集团有限公司）的意见。</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〔充电设施〕</w:t>
      </w:r>
      <w:r>
        <w:rPr>
          <w:rFonts w:hint="eastAsia" w:ascii="仿宋_GB2312" w:hAnsi="仿宋_GB2312" w:eastAsia="仿宋_GB2312" w:cs="仿宋_GB2312"/>
          <w:sz w:val="32"/>
          <w:szCs w:val="32"/>
        </w:rPr>
        <w:t>城市新建住宅配建停车位应100%安装充电设施或预留建设安装条件。新建住宅配建的停车位要100%建设充电设施或预留建设安装条件。</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新建大型公共建筑物停车场、社会公共停车场、公共文化娱乐场所停车场等，按不低于20%的车位比例建设充电基础设施。</w:t>
      </w:r>
    </w:p>
    <w:p>
      <w:pPr>
        <w:adjustRightIn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〔建筑外观〕</w:t>
      </w:r>
      <w:r>
        <w:rPr>
          <w:rFonts w:hint="eastAsia" w:ascii="仿宋_GB2312" w:hAnsi="仿宋_GB2312" w:eastAsia="仿宋_GB2312" w:cs="仿宋_GB2312"/>
          <w:sz w:val="32"/>
          <w:szCs w:val="32"/>
        </w:rPr>
        <w:t>空调室外机、排水管道等构件应与建筑立面统一设计，确保整体效果。新建住宅阳台须增设污水收集系统，并满足相关设计规范要求。</w:t>
      </w:r>
    </w:p>
    <w:p>
      <w:pPr>
        <w:widowControl/>
        <w:shd w:val="clear" w:color="auto" w:fill="FFFFFF"/>
        <w:adjustRightInd w:val="0"/>
        <w:snapToGrid w:val="0"/>
        <w:spacing w:line="560" w:lineRule="exact"/>
        <w:ind w:firstLine="640" w:firstLineChars="200"/>
        <w:textAlignment w:val="baseline"/>
        <w:rPr>
          <w:rFonts w:ascii="仿宋_GB2312" w:hAnsi="宋体" w:eastAsia="仿宋_GB2312" w:cs="宋体"/>
          <w:kern w:val="0"/>
          <w:sz w:val="32"/>
          <w:szCs w:val="32"/>
        </w:rPr>
      </w:pPr>
      <w:r>
        <w:rPr>
          <w:rFonts w:hint="eastAsia" w:ascii="仿宋_GB2312" w:hAnsi="宋体" w:eastAsia="仿宋_GB2312" w:cs="宋体"/>
          <w:kern w:val="0"/>
          <w:sz w:val="32"/>
          <w:szCs w:val="32"/>
        </w:rPr>
        <w:t>〔建筑日照〕</w:t>
      </w:r>
      <w:r>
        <w:rPr>
          <w:rFonts w:hint="eastAsia" w:ascii="仿宋_GB2312" w:hAnsi="仿宋_GB2312" w:eastAsia="仿宋_GB2312" w:cs="仿宋_GB2312"/>
          <w:sz w:val="32"/>
          <w:szCs w:val="32"/>
        </w:rPr>
        <w:t>该地块内拟新建建设工程对周边现状有日照要求的建筑有日照遮挡，并造成部分建筑不满足法定日照标准，应当在取得《建设工程规划许可证》前与相关业主达成解决协议，如不能达成解决协议，应当调整方案或降低容积率，以满足法定日照标准。</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〔城市设计要求〕</w:t>
      </w:r>
      <w:r>
        <w:rPr>
          <w:rFonts w:hint="eastAsia" w:ascii="仿宋_GB2312" w:hAnsi="仿宋_GB2312" w:eastAsia="仿宋_GB2312" w:cs="仿宋_GB2312"/>
          <w:sz w:val="32"/>
          <w:szCs w:val="32"/>
        </w:rPr>
        <w:t>按照“适用、经济、绿色、美观”的原则，新建建筑的体量、材料、色彩应与周围环境协调，</w:t>
      </w:r>
      <w:r>
        <w:rPr>
          <w:rFonts w:hint="eastAsia" w:ascii="仿宋_GB2312" w:eastAsia="仿宋_GB2312"/>
          <w:sz w:val="32"/>
          <w:szCs w:val="32"/>
        </w:rPr>
        <w:t>体现时代性、地域性和项目特性</w:t>
      </w:r>
      <w:r>
        <w:rPr>
          <w:rFonts w:hint="eastAsia" w:ascii="仿宋_GB2312" w:hAnsi="仿宋_GB2312" w:eastAsia="仿宋_GB2312" w:cs="仿宋_GB2312"/>
          <w:sz w:val="32"/>
          <w:szCs w:val="32"/>
        </w:rPr>
        <w:t>，项目自然环境格局、空间景观结构、公共开放空间、建筑形态等应符合</w:t>
      </w:r>
      <w:r>
        <w:rPr>
          <w:rFonts w:hint="eastAsia" w:ascii="仿宋_GB2312" w:hAnsi="仿宋" w:eastAsia="仿宋_GB2312"/>
          <w:sz w:val="32"/>
          <w:szCs w:val="32"/>
        </w:rPr>
        <w:t>《青岛市城市风貌保护条例》、《青岛市滨海近山临河建设控制区设计管控技术要点（试行）》（青自然资规字〔2024〕25号）、《青岛市建筑工程方案设计管控技术导则（试行）》（青自然资规字〔2024〕24号）等相关文件的规定</w:t>
      </w:r>
      <w:r>
        <w:rPr>
          <w:rFonts w:hint="eastAsia" w:ascii="仿宋_GB2312" w:hAnsi="仿宋_GB2312" w:eastAsia="仿宋_GB2312" w:cs="仿宋_GB2312"/>
          <w:sz w:val="32"/>
          <w:szCs w:val="32"/>
        </w:rPr>
        <w:t>。应强化精品意识，运用城市设计理念和手法，传承历史文脉，创造体现人文和谐、现代文明和时代特征的精品工程。做好雕塑、景观小品、街具及标识等城市公共艺术设计。</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〔夜景观照明规划要求〕</w:t>
      </w:r>
      <w:r>
        <w:rPr>
          <w:rFonts w:hint="eastAsia" w:ascii="仿宋_GB2312" w:hAnsi="仿宋_GB2312" w:eastAsia="仿宋_GB2312" w:cs="仿宋_GB2312"/>
          <w:sz w:val="32"/>
          <w:szCs w:val="32"/>
        </w:rPr>
        <w:t>建筑方案设计时做出夜景观照明设计专篇和设计方案效果图一并报审。</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宋体" w:eastAsia="仿宋_GB2312" w:cs="宋体"/>
          <w:kern w:val="0"/>
          <w:sz w:val="32"/>
          <w:szCs w:val="32"/>
        </w:rPr>
        <w:t>〔广告要求〕</w:t>
      </w:r>
      <w:r>
        <w:rPr>
          <w:rFonts w:hint="eastAsia" w:ascii="仿宋_GB2312" w:hAnsi="仿宋_GB2312" w:eastAsia="仿宋_GB2312" w:cs="仿宋_GB2312"/>
          <w:sz w:val="32"/>
          <w:szCs w:val="32"/>
        </w:rPr>
        <w:t>对符合广告规划设置要求的项目，建筑方案设计时，户外广告与招牌设施应与建筑采取一体化设计一并报审，并符合广告规划的设置要求。</w:t>
      </w:r>
    </w:p>
    <w:p>
      <w:pPr>
        <w:adjustRightInd w:val="0"/>
        <w:spacing w:line="560" w:lineRule="exact"/>
        <w:ind w:firstLine="640" w:firstLineChars="200"/>
        <w:textAlignment w:val="baseline"/>
        <w:rPr>
          <w:rFonts w:ascii="仿宋_GB2312" w:eastAsia="仿宋_GB2312"/>
          <w:sz w:val="32"/>
          <w:szCs w:val="32"/>
        </w:rPr>
      </w:pPr>
      <w:r>
        <w:rPr>
          <w:rFonts w:hint="eastAsia" w:ascii="仿宋_GB2312" w:hAnsi="宋体" w:eastAsia="仿宋_GB2312" w:cs="宋体"/>
          <w:kern w:val="0"/>
          <w:sz w:val="32"/>
          <w:szCs w:val="32"/>
        </w:rPr>
        <w:t>〔无障碍设计要求〕</w:t>
      </w:r>
      <w:r>
        <w:rPr>
          <w:rFonts w:hint="eastAsia" w:ascii="仿宋_GB2312" w:eastAsia="仿宋_GB2312"/>
          <w:sz w:val="32"/>
          <w:szCs w:val="32"/>
        </w:rPr>
        <w:t>应符合《中华人民共和国无障碍环境建设法》、《无障碍设计规范》(GB50763-2012)、《建筑与市政工程无障碍通用规范》（</w:t>
      </w:r>
      <w:r>
        <w:rPr>
          <w:rFonts w:ascii="仿宋_GB2312" w:eastAsia="仿宋_GB2312"/>
          <w:sz w:val="32"/>
          <w:szCs w:val="32"/>
        </w:rPr>
        <w:t>GB 55019-2021）</w:t>
      </w:r>
      <w:r>
        <w:rPr>
          <w:rFonts w:hint="eastAsia" w:ascii="仿宋_GB2312" w:eastAsia="仿宋_GB2312"/>
          <w:sz w:val="32"/>
          <w:szCs w:val="32"/>
        </w:rPr>
        <w:t>等相关要求。</w:t>
      </w:r>
    </w:p>
    <w:p>
      <w:pPr>
        <w:widowControl/>
        <w:shd w:val="clear" w:color="auto" w:fill="FFFFFF"/>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（如有特殊情况，可另加附注）。</w:t>
      </w:r>
    </w:p>
    <w:p>
      <w:pPr>
        <w:wordWrap w:val="0"/>
        <w:adjustRightInd w:val="0"/>
        <w:spacing w:line="560" w:lineRule="exact"/>
        <w:ind w:right="1600"/>
        <w:jc w:val="right"/>
        <w:textAlignment w:val="baseline"/>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单位</w:t>
      </w:r>
    </w:p>
    <w:p>
      <w:pPr>
        <w:adjustRightInd w:val="0"/>
        <w:spacing w:line="560" w:lineRule="exact"/>
        <w:ind w:firstLine="5760" w:firstLineChars="1800"/>
        <w:jc w:val="left"/>
        <w:textAlignment w:val="baseline"/>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w:t>
      </w:r>
      <w:r>
        <w:rPr>
          <w:rFonts w:hint="eastAsia" w:ascii="仿宋_GB2312" w:eastAsia="仿宋_GB2312"/>
          <w:sz w:val="32"/>
          <w:szCs w:val="32"/>
        </w:rPr>
        <w:t>年*</w:t>
      </w:r>
      <w:r>
        <w:rPr>
          <w:rFonts w:ascii="仿宋_GB2312" w:eastAsia="仿宋_GB2312"/>
          <w:sz w:val="32"/>
          <w:szCs w:val="32"/>
        </w:rPr>
        <w:t>*</w:t>
      </w:r>
      <w:r>
        <w:rPr>
          <w:rFonts w:hint="eastAsia" w:ascii="仿宋_GB2312" w:eastAsia="仿宋_GB2312"/>
          <w:sz w:val="32"/>
          <w:szCs w:val="32"/>
        </w:rPr>
        <w:t>月*</w:t>
      </w:r>
      <w:r>
        <w:rPr>
          <w:rFonts w:ascii="仿宋_GB2312" w:eastAsia="仿宋_GB2312"/>
          <w:sz w:val="32"/>
          <w:szCs w:val="32"/>
        </w:rPr>
        <w:t>*</w:t>
      </w:r>
      <w:r>
        <w:rPr>
          <w:rFonts w:hint="eastAsia" w:ascii="仿宋_GB2312" w:eastAsia="仿宋_GB2312"/>
          <w:sz w:val="32"/>
          <w:szCs w:val="32"/>
        </w:rPr>
        <w:t>日</w:t>
      </w:r>
    </w:p>
    <w:p>
      <w:pPr>
        <w:adjustRightInd w:val="0"/>
        <w:spacing w:line="560" w:lineRule="exact"/>
        <w:ind w:firstLine="3520" w:firstLineChars="1100"/>
        <w:jc w:val="left"/>
        <w:textAlignment w:val="baseline"/>
        <w:rPr>
          <w:rFonts w:ascii="仿宋_GB2312" w:eastAsia="仿宋_GB2312"/>
          <w:sz w:val="32"/>
          <w:szCs w:val="32"/>
        </w:rPr>
      </w:pPr>
      <w:r>
        <w:rPr>
          <w:rFonts w:hint="eastAsia" w:ascii="仿宋_GB2312" w:hAnsi="宋体" w:eastAsia="仿宋_GB2312"/>
          <w:bCs/>
          <w:sz w:val="32"/>
          <w:szCs w:val="32"/>
        </w:rPr>
        <w:t xml:space="preserve">（联系人：     联系电话： </w:t>
      </w:r>
      <w:r>
        <w:rPr>
          <w:rFonts w:ascii="仿宋_GB2312" w:hAnsi="宋体" w:eastAsia="仿宋_GB2312"/>
          <w:bCs/>
          <w:sz w:val="32"/>
          <w:szCs w:val="32"/>
        </w:rPr>
        <w:t xml:space="preserve">    </w:t>
      </w:r>
      <w:r>
        <w:rPr>
          <w:rFonts w:hint="eastAsia" w:ascii="仿宋_GB2312" w:hAnsi="宋体" w:eastAsia="仿宋_GB2312"/>
          <w:bCs/>
          <w:sz w:val="32"/>
          <w:szCs w:val="32"/>
        </w:rPr>
        <w:t>）</w:t>
      </w:r>
    </w:p>
    <w:p>
      <w:pPr>
        <w:spacing w:line="540" w:lineRule="exact"/>
        <w:ind w:firstLine="640" w:firstLineChars="200"/>
        <w:rPr>
          <w:rFonts w:ascii="仿宋_GB2312" w:hAnsi="仿宋_GB2312" w:eastAsia="仿宋_GB2312" w:cs="仿宋_GB2312"/>
          <w:sz w:val="32"/>
          <w:szCs w:val="32"/>
        </w:rPr>
      </w:pPr>
    </w:p>
    <w:p>
      <w:pPr>
        <w:spacing w:line="540" w:lineRule="exact"/>
        <w:ind w:firstLine="640" w:firstLineChars="200"/>
        <w:rPr>
          <w:rFonts w:ascii="仿宋_GB2312" w:hAnsi="仿宋_GB2312" w:eastAsia="仿宋_GB2312" w:cs="仿宋_GB2312"/>
          <w:sz w:val="32"/>
          <w:szCs w:val="32"/>
        </w:rPr>
      </w:pPr>
    </w:p>
    <w:sectPr>
      <w:footerReference r:id="rId3" w:type="default"/>
      <w:footerReference r:id="rId4" w:type="even"/>
      <w:pgSz w:w="11906" w:h="16838"/>
      <w:pgMar w:top="2098" w:right="1474" w:bottom="1985" w:left="1588" w:header="851" w:footer="992" w:gutter="0"/>
      <w:pgNumType w:fmt="numberInDash" w:start="1"/>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00"/>
    <w:family w:val="auto"/>
    <w:pitch w:val="default"/>
    <w:sig w:usb0="00000000" w:usb1="00000000" w:usb2="00000010" w:usb3="00000000" w:csb0="0004009F" w:csb1="00000000"/>
  </w:font>
  <w:font w:name="方正黑体_GBK">
    <w:panose1 w:val="03000509000000000000"/>
    <w:charset w:val="86"/>
    <w:family w:val="auto"/>
    <w:pitch w:val="default"/>
    <w:sig w:usb0="00000001" w:usb1="080E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hAnsi="宋体"/>
        <w:sz w:val="28"/>
        <w:szCs w:val="28"/>
      </w:rPr>
    </w:pP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- 43 -</w:t>
    </w:r>
    <w:r>
      <w:rPr>
        <w:rStyle w:val="5"/>
        <w:rFonts w:ascii="宋体" w:hAnsi="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D1F1C"/>
    <w:rsid w:val="15FD1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2024-12-26T16:25:00Z</dcterms:created>
  <dc:creator>user</dc:creator>
  <cp:lastModifiedBy>user</cp:lastModifiedBy>
  <dcterms:modified xsi:type="dcterms:W3CDTF">2024-12-26T16:28:49Z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