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color w:val="FF0000"/>
          <w:sz w:val="72"/>
          <w:szCs w:val="72"/>
        </w:rPr>
      </w:pPr>
      <w:r>
        <w:rPr>
          <w:rFonts w:hint="eastAsia" w:ascii="宋体" w:hAnsi="宋体" w:cs="宋体"/>
          <w:color w:val="FF0000"/>
          <w:sz w:val="72"/>
          <w:szCs w:val="72"/>
        </w:rPr>
        <w:t>青  岛  市  司  法  局</w:t>
      </w:r>
    </w:p>
    <w:p>
      <w:pPr>
        <w:jc w:val="center"/>
        <w:rPr>
          <w:color w:val="000000"/>
          <w:sz w:val="44"/>
          <w:szCs w:val="44"/>
        </w:rPr>
      </w:pPr>
      <w:r>
        <w:rPr>
          <w:rFonts w:cs="宋体"/>
          <w:szCs w:val="21"/>
        </w:rPr>
        <w:drawing>
          <wp:inline distT="0" distB="0" distL="0" distR="0">
            <wp:extent cx="5615940" cy="67945"/>
            <wp:effectExtent l="0" t="0" r="381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615940" cy="67945"/>
                    </a:xfrm>
                    <a:prstGeom prst="rect">
                      <a:avLst/>
                    </a:prstGeom>
                    <a:noFill/>
                    <a:ln>
                      <a:noFill/>
                    </a:ln>
                  </pic:spPr>
                </pic:pic>
              </a:graphicData>
            </a:graphic>
          </wp:inline>
        </w:drawing>
      </w:r>
    </w:p>
    <w:p>
      <w:pPr>
        <w:jc w:val="center"/>
        <w:rPr>
          <w:b/>
          <w:bCs/>
          <w:color w:val="FF0000"/>
          <w:spacing w:val="-20"/>
          <w:szCs w:val="21"/>
        </w:rPr>
      </w:pPr>
    </w:p>
    <w:p>
      <w:pPr>
        <w:spacing w:line="560" w:lineRule="exact"/>
        <w:jc w:val="center"/>
        <w:rPr>
          <w:rFonts w:ascii="文星标宋" w:hAnsi="文星标宋" w:eastAsia="文星标宋" w:cs="方正小标宋_GBK"/>
          <w:bCs/>
          <w:sz w:val="44"/>
          <w:szCs w:val="44"/>
        </w:rPr>
      </w:pPr>
      <w:r>
        <w:rPr>
          <w:rFonts w:hint="eastAsia" w:ascii="文星标宋" w:hAnsi="文星标宋" w:eastAsia="文星标宋" w:cs="方正小标宋_GBK"/>
          <w:bCs/>
          <w:sz w:val="44"/>
          <w:szCs w:val="44"/>
        </w:rPr>
        <w:t>关于公布</w:t>
      </w:r>
      <w:r>
        <w:rPr>
          <w:rFonts w:ascii="文星标宋" w:hAnsi="文星标宋" w:eastAsia="文星标宋" w:cs="方正小标宋_GBK"/>
          <w:bCs/>
          <w:sz w:val="44"/>
          <w:szCs w:val="44"/>
        </w:rPr>
        <w:t>2023</w:t>
      </w:r>
      <w:r>
        <w:rPr>
          <w:rFonts w:hint="eastAsia" w:ascii="文星标宋" w:hAnsi="文星标宋" w:eastAsia="文星标宋" w:cs="方正小标宋_GBK"/>
          <w:bCs/>
          <w:sz w:val="44"/>
          <w:szCs w:val="44"/>
        </w:rPr>
        <w:t>年第</w:t>
      </w:r>
      <w:r>
        <w:rPr>
          <w:rFonts w:ascii="文星标宋" w:hAnsi="文星标宋" w:eastAsia="文星标宋" w:cs="方正小标宋_GBK"/>
          <w:bCs/>
          <w:sz w:val="44"/>
          <w:szCs w:val="44"/>
        </w:rPr>
        <w:t>二</w:t>
      </w:r>
      <w:r>
        <w:rPr>
          <w:rFonts w:hint="eastAsia" w:ascii="文星标宋" w:hAnsi="文星标宋" w:eastAsia="文星标宋" w:cs="方正小标宋_GBK"/>
          <w:bCs/>
          <w:sz w:val="44"/>
          <w:szCs w:val="44"/>
        </w:rPr>
        <w:t>季度</w:t>
      </w:r>
    </w:p>
    <w:p>
      <w:pPr>
        <w:spacing w:line="560" w:lineRule="exact"/>
        <w:jc w:val="center"/>
        <w:rPr>
          <w:rFonts w:ascii="文星标宋" w:hAnsi="文星标宋" w:eastAsia="文星标宋" w:cs="方正小标宋_GBK"/>
          <w:bCs/>
          <w:sz w:val="44"/>
          <w:szCs w:val="44"/>
        </w:rPr>
      </w:pPr>
      <w:r>
        <w:rPr>
          <w:rFonts w:hint="eastAsia" w:ascii="文星标宋" w:hAnsi="文星标宋" w:eastAsia="文星标宋" w:cs="方正小标宋_GBK"/>
          <w:bCs/>
          <w:sz w:val="44"/>
          <w:szCs w:val="44"/>
        </w:rPr>
        <w:t>备案的青岛市政府部门及区（市</w:t>
      </w:r>
      <w:r>
        <w:rPr>
          <w:rFonts w:ascii="文星标宋" w:hAnsi="文星标宋" w:eastAsia="文星标宋" w:cs="方正小标宋_GBK"/>
          <w:bCs/>
          <w:sz w:val="44"/>
          <w:szCs w:val="44"/>
        </w:rPr>
        <w:t>）</w:t>
      </w:r>
      <w:r>
        <w:rPr>
          <w:rFonts w:hint="eastAsia" w:ascii="文星标宋" w:hAnsi="文星标宋" w:eastAsia="文星标宋" w:cs="方正小标宋_GBK"/>
          <w:bCs/>
          <w:sz w:val="44"/>
          <w:szCs w:val="44"/>
        </w:rPr>
        <w:t>政府</w:t>
      </w:r>
    </w:p>
    <w:p>
      <w:pPr>
        <w:spacing w:line="560" w:lineRule="exact"/>
        <w:jc w:val="center"/>
        <w:rPr>
          <w:rFonts w:ascii="文星标宋" w:hAnsi="文星标宋" w:eastAsia="文星标宋" w:cs="方正小标宋_GBK"/>
          <w:bCs/>
          <w:sz w:val="44"/>
          <w:szCs w:val="44"/>
        </w:rPr>
      </w:pPr>
      <w:r>
        <w:rPr>
          <w:rFonts w:hint="eastAsia" w:ascii="文星标宋" w:hAnsi="文星标宋" w:eastAsia="文星标宋" w:cs="方正小标宋_GBK"/>
          <w:bCs/>
          <w:sz w:val="44"/>
          <w:szCs w:val="44"/>
        </w:rPr>
        <w:t>规范性文件目录的通知</w:t>
      </w:r>
    </w:p>
    <w:p>
      <w:pPr>
        <w:spacing w:line="560" w:lineRule="exact"/>
        <w:jc w:val="center"/>
        <w:rPr>
          <w:rFonts w:ascii="方正小标宋_GBK" w:hAnsi="方正小标宋_GBK" w:eastAsia="方正小标宋_GBK" w:cs="方正小标宋_GBK"/>
          <w:bCs/>
          <w:sz w:val="44"/>
          <w:szCs w:val="44"/>
        </w:rPr>
      </w:pPr>
    </w:p>
    <w:p>
      <w:pPr>
        <w:tabs>
          <w:tab w:val="left" w:pos="5220"/>
        </w:tabs>
        <w:spacing w:line="560" w:lineRule="exact"/>
        <w:rPr>
          <w:rFonts w:ascii="仿宋_GB2312" w:eastAsia="仿宋_GB2312"/>
          <w:b/>
          <w:sz w:val="32"/>
          <w:szCs w:val="32"/>
        </w:rPr>
      </w:pPr>
      <w:r>
        <w:rPr>
          <w:rFonts w:hint="eastAsia" w:ascii="仿宋_GB2312" w:eastAsia="仿宋_GB2312"/>
          <w:sz w:val="32"/>
          <w:szCs w:val="32"/>
        </w:rPr>
        <w:t>各区、市人民政府，西海岸新区管委，市政府各部门，市直各有关单位：</w:t>
      </w:r>
    </w:p>
    <w:p>
      <w:pPr>
        <w:tabs>
          <w:tab w:val="left" w:pos="5220"/>
        </w:tabs>
        <w:spacing w:line="560" w:lineRule="exact"/>
        <w:rPr>
          <w:rFonts w:ascii="仿宋_GB2312" w:eastAsia="仿宋_GB2312"/>
          <w:sz w:val="32"/>
          <w:szCs w:val="32"/>
        </w:rPr>
      </w:pPr>
      <w:r>
        <w:rPr>
          <w:rFonts w:hint="eastAsia" w:ascii="仿宋_GB2312" w:eastAsia="仿宋_GB2312"/>
          <w:sz w:val="32"/>
          <w:szCs w:val="32"/>
        </w:rPr>
        <w:t xml:space="preserve">    为了加强规范性文件的监督管理，进一步推动市政府各部门和各区（市</w:t>
      </w:r>
      <w:r>
        <w:rPr>
          <w:rFonts w:ascii="仿宋_GB2312" w:eastAsia="仿宋_GB2312"/>
          <w:sz w:val="32"/>
          <w:szCs w:val="32"/>
        </w:rPr>
        <w:t>）</w:t>
      </w:r>
      <w:r>
        <w:rPr>
          <w:rFonts w:hint="eastAsia" w:ascii="仿宋_GB2312" w:eastAsia="仿宋_GB2312"/>
          <w:sz w:val="32"/>
          <w:szCs w:val="32"/>
        </w:rPr>
        <w:t>政府规范性文件的规范化管理，根据《山东省行政程序规定》《</w:t>
      </w:r>
      <w:bookmarkStart w:id="0" w:name="_Toc500237375"/>
      <w:r>
        <w:rPr>
          <w:rFonts w:hint="eastAsia" w:ascii="仿宋_GB2312" w:eastAsia="仿宋_GB2312"/>
          <w:sz w:val="32"/>
          <w:szCs w:val="32"/>
        </w:rPr>
        <w:t>青岛市行政规范性文件管理规定</w:t>
      </w:r>
      <w:bookmarkEnd w:id="0"/>
      <w:r>
        <w:rPr>
          <w:rFonts w:hint="eastAsia" w:ascii="仿宋_GB2312" w:eastAsia="仿宋_GB2312"/>
          <w:sz w:val="32"/>
          <w:szCs w:val="32"/>
        </w:rPr>
        <w:t>》有关规定，</w:t>
      </w:r>
      <w:r>
        <w:rPr>
          <w:rFonts w:ascii="仿宋_GB2312" w:eastAsia="仿宋_GB2312"/>
          <w:sz w:val="32"/>
          <w:szCs w:val="32"/>
        </w:rPr>
        <w:t>2023</w:t>
      </w:r>
      <w:r>
        <w:rPr>
          <w:rFonts w:hint="eastAsia" w:ascii="仿宋_GB2312" w:eastAsia="仿宋_GB2312"/>
          <w:sz w:val="32"/>
          <w:szCs w:val="32"/>
        </w:rPr>
        <w:t>年第</w:t>
      </w:r>
      <w:r>
        <w:rPr>
          <w:rFonts w:ascii="仿宋_GB2312" w:eastAsia="仿宋_GB2312"/>
          <w:sz w:val="32"/>
          <w:szCs w:val="32"/>
        </w:rPr>
        <w:t>二</w:t>
      </w:r>
      <w:r>
        <w:rPr>
          <w:rFonts w:hint="eastAsia" w:ascii="仿宋_GB2312" w:eastAsia="仿宋_GB2312"/>
          <w:sz w:val="32"/>
          <w:szCs w:val="32"/>
        </w:rPr>
        <w:t>季度审查备案市政府部门规范性文件14件，区（市</w:t>
      </w:r>
      <w:r>
        <w:rPr>
          <w:rFonts w:ascii="仿宋_GB2312" w:eastAsia="仿宋_GB2312"/>
          <w:sz w:val="32"/>
          <w:szCs w:val="32"/>
        </w:rPr>
        <w:t>）</w:t>
      </w:r>
      <w:r>
        <w:rPr>
          <w:rFonts w:hint="eastAsia" w:ascii="仿宋_GB2312" w:eastAsia="仿宋_GB2312"/>
          <w:sz w:val="32"/>
          <w:szCs w:val="32"/>
        </w:rPr>
        <w:t>政府规范性文件</w:t>
      </w:r>
      <w:r>
        <w:rPr>
          <w:rFonts w:hint="eastAsia" w:ascii="仿宋_GB2312" w:eastAsia="仿宋_GB2312"/>
          <w:sz w:val="32"/>
          <w:szCs w:val="32"/>
          <w:lang w:val="en-US" w:eastAsia="zh-CN"/>
        </w:rPr>
        <w:t>3</w:t>
      </w:r>
      <w:bookmarkStart w:id="1" w:name="_GoBack"/>
      <w:bookmarkEnd w:id="1"/>
      <w:r>
        <w:rPr>
          <w:rFonts w:hint="eastAsia" w:ascii="仿宋_GB2312" w:eastAsia="仿宋_GB2312"/>
          <w:sz w:val="32"/>
          <w:szCs w:val="32"/>
        </w:rPr>
        <w:t>件，现将备案的文件目录予以公布。</w:t>
      </w:r>
    </w:p>
    <w:p>
      <w:pPr>
        <w:pStyle w:val="10"/>
        <w:spacing w:line="560" w:lineRule="exact"/>
        <w:ind w:firstLine="640" w:firstLineChars="200"/>
        <w:rPr>
          <w:rFonts w:ascii="仿宋_GB2312" w:hAnsi="Calibri" w:eastAsia="仿宋_GB2312"/>
          <w:sz w:val="32"/>
          <w:szCs w:val="32"/>
        </w:rPr>
      </w:pPr>
    </w:p>
    <w:p>
      <w:pPr>
        <w:pStyle w:val="10"/>
        <w:spacing w:line="560" w:lineRule="exact"/>
        <w:ind w:left="2078" w:leftChars="304" w:hanging="1440" w:hangingChars="450"/>
        <w:rPr>
          <w:rFonts w:ascii="仿宋_GB2312" w:eastAsia="仿宋_GB2312"/>
          <w:sz w:val="32"/>
          <w:szCs w:val="32"/>
        </w:rPr>
      </w:pPr>
      <w:r>
        <w:rPr>
          <w:rFonts w:hint="eastAsia" w:ascii="仿宋_GB2312" w:eastAsia="仿宋_GB2312"/>
          <w:sz w:val="32"/>
          <w:szCs w:val="32"/>
        </w:rPr>
        <w:t xml:space="preserve">附件：1. </w:t>
      </w:r>
      <w:r>
        <w:rPr>
          <w:rFonts w:ascii="仿宋_GB2312" w:eastAsia="仿宋_GB2312"/>
          <w:sz w:val="32"/>
          <w:szCs w:val="32"/>
        </w:rPr>
        <w:t>2023</w:t>
      </w:r>
      <w:r>
        <w:rPr>
          <w:rFonts w:hint="eastAsia" w:ascii="仿宋_GB2312" w:eastAsia="仿宋_GB2312"/>
          <w:sz w:val="32"/>
          <w:szCs w:val="32"/>
        </w:rPr>
        <w:t>年第</w:t>
      </w:r>
      <w:r>
        <w:rPr>
          <w:rFonts w:ascii="仿宋_GB2312" w:eastAsia="仿宋_GB2312"/>
          <w:sz w:val="32"/>
          <w:szCs w:val="32"/>
        </w:rPr>
        <w:t>二</w:t>
      </w:r>
      <w:r>
        <w:rPr>
          <w:rFonts w:hint="eastAsia" w:ascii="仿宋_GB2312" w:eastAsia="仿宋_GB2312"/>
          <w:sz w:val="32"/>
          <w:szCs w:val="32"/>
        </w:rPr>
        <w:t>季度备案的市政府部门规范性文件目录</w:t>
      </w:r>
    </w:p>
    <w:p>
      <w:pPr>
        <w:pStyle w:val="10"/>
        <w:spacing w:line="560" w:lineRule="exact"/>
        <w:ind w:left="2076" w:leftChars="760" w:hanging="480" w:hangingChars="150"/>
        <w:rPr>
          <w:rFonts w:ascii="仿宋_GB2312" w:hAnsi="Calibri" w:eastAsia="仿宋_GB2312"/>
          <w:sz w:val="32"/>
          <w:szCs w:val="32"/>
          <w:shd w:val="clear" w:color="auto" w:fill="FFFFFF"/>
        </w:rPr>
      </w:pPr>
      <w:r>
        <w:rPr>
          <w:rFonts w:hint="eastAsia" w:ascii="仿宋_GB2312" w:eastAsia="仿宋_GB2312"/>
          <w:sz w:val="32"/>
          <w:szCs w:val="32"/>
        </w:rPr>
        <w:t xml:space="preserve">2. </w:t>
      </w:r>
      <w:r>
        <w:rPr>
          <w:rFonts w:ascii="仿宋_GB2312" w:eastAsia="仿宋_GB2312"/>
          <w:sz w:val="32"/>
          <w:szCs w:val="32"/>
        </w:rPr>
        <w:t>2023</w:t>
      </w:r>
      <w:r>
        <w:rPr>
          <w:rFonts w:hint="eastAsia" w:ascii="仿宋_GB2312" w:eastAsia="仿宋_GB2312"/>
          <w:sz w:val="32"/>
          <w:szCs w:val="32"/>
        </w:rPr>
        <w:t>年第</w:t>
      </w:r>
      <w:r>
        <w:rPr>
          <w:rFonts w:ascii="仿宋_GB2312" w:eastAsia="仿宋_GB2312"/>
          <w:sz w:val="32"/>
          <w:szCs w:val="32"/>
        </w:rPr>
        <w:t>二</w:t>
      </w:r>
      <w:r>
        <w:rPr>
          <w:rFonts w:hint="eastAsia" w:ascii="仿宋_GB2312" w:eastAsia="仿宋_GB2312"/>
          <w:sz w:val="32"/>
          <w:szCs w:val="32"/>
        </w:rPr>
        <w:t>季度备案的区（市</w:t>
      </w:r>
      <w:r>
        <w:rPr>
          <w:rFonts w:ascii="仿宋_GB2312" w:eastAsia="仿宋_GB2312"/>
          <w:sz w:val="32"/>
          <w:szCs w:val="32"/>
        </w:rPr>
        <w:t>）</w:t>
      </w:r>
      <w:r>
        <w:rPr>
          <w:rFonts w:hint="eastAsia" w:ascii="仿宋_GB2312" w:eastAsia="仿宋_GB2312"/>
          <w:sz w:val="32"/>
          <w:szCs w:val="32"/>
        </w:rPr>
        <w:t>政府规范性文件目录</w:t>
      </w:r>
    </w:p>
    <w:p>
      <w:pPr>
        <w:tabs>
          <w:tab w:val="left" w:pos="5220"/>
        </w:tabs>
        <w:spacing w:line="560" w:lineRule="exact"/>
        <w:ind w:firstLine="3664" w:firstLineChars="1145"/>
        <w:rPr>
          <w:rFonts w:ascii="仿宋_GB2312" w:eastAsia="仿宋_GB2312"/>
          <w:sz w:val="32"/>
          <w:szCs w:val="32"/>
        </w:rPr>
      </w:pPr>
      <w:r>
        <w:rPr>
          <w:rFonts w:hint="eastAsia" w:ascii="仿宋_GB2312" w:eastAsia="仿宋_GB2312"/>
          <w:sz w:val="32"/>
          <w:szCs w:val="32"/>
        </w:rPr>
        <w:t xml:space="preserve">         </w:t>
      </w:r>
    </w:p>
    <w:p>
      <w:pPr>
        <w:tabs>
          <w:tab w:val="left" w:pos="5220"/>
        </w:tabs>
        <w:spacing w:line="560" w:lineRule="exact"/>
        <w:ind w:firstLine="3664" w:firstLineChars="1145"/>
        <w:rPr>
          <w:rFonts w:ascii="仿宋_GB2312" w:eastAsia="仿宋_GB2312"/>
          <w:sz w:val="32"/>
          <w:szCs w:val="32"/>
        </w:rPr>
      </w:pPr>
      <w:r>
        <w:rPr>
          <w:rFonts w:hint="eastAsia" w:ascii="仿宋_GB2312" w:eastAsia="仿宋_GB2312"/>
          <w:sz w:val="32"/>
          <w:szCs w:val="32"/>
        </w:rPr>
        <w:t xml:space="preserve">          青岛市司法局</w:t>
      </w:r>
    </w:p>
    <w:p>
      <w:pPr>
        <w:tabs>
          <w:tab w:val="left" w:pos="5220"/>
        </w:tabs>
        <w:spacing w:line="560" w:lineRule="exact"/>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2023年</w:t>
      </w:r>
      <w:r>
        <w:rPr>
          <w:rFonts w:hint="eastAsia" w:ascii="仿宋_GB2312" w:eastAsia="仿宋_GB2312"/>
          <w:sz w:val="32"/>
          <w:szCs w:val="32"/>
        </w:rPr>
        <w:t>7</w:t>
      </w:r>
      <w:r>
        <w:rPr>
          <w:rFonts w:ascii="仿宋_GB2312" w:eastAsia="仿宋_GB2312"/>
          <w:sz w:val="32"/>
          <w:szCs w:val="32"/>
        </w:rPr>
        <w:t>月</w:t>
      </w:r>
      <w:r>
        <w:rPr>
          <w:rFonts w:hint="eastAsia" w:ascii="仿宋_GB2312" w:eastAsia="仿宋_GB2312"/>
          <w:sz w:val="32"/>
          <w:szCs w:val="32"/>
        </w:rPr>
        <w:t>6</w:t>
      </w:r>
      <w:r>
        <w:rPr>
          <w:rFonts w:ascii="仿宋_GB2312" w:eastAsia="仿宋_GB2312"/>
          <w:sz w:val="32"/>
          <w:szCs w:val="32"/>
        </w:rPr>
        <w:t>日</w:t>
      </w:r>
    </w:p>
    <w:p>
      <w:pPr>
        <w:widowControl/>
        <w:spacing w:line="560" w:lineRule="exact"/>
        <w:jc w:val="left"/>
        <w:rPr>
          <w:rFonts w:ascii="仿宋_GB2312" w:eastAsia="仿宋_GB2312"/>
          <w:sz w:val="32"/>
          <w:szCs w:val="32"/>
        </w:rPr>
        <w:sectPr>
          <w:footerReference r:id="rId3" w:type="default"/>
          <w:pgSz w:w="11906" w:h="16838"/>
          <w:pgMar w:top="2098" w:right="1474" w:bottom="1985" w:left="1588" w:header="851" w:footer="992" w:gutter="0"/>
          <w:cols w:space="720" w:num="1"/>
          <w:docGrid w:type="lines" w:linePitch="312" w:charSpace="0"/>
        </w:sectPr>
      </w:pPr>
    </w:p>
    <w:p>
      <w:pPr>
        <w:tabs>
          <w:tab w:val="left" w:pos="5220"/>
        </w:tabs>
        <w:rPr>
          <w:rFonts w:ascii="黑体" w:eastAsia="黑体"/>
          <w:sz w:val="32"/>
          <w:szCs w:val="32"/>
        </w:rPr>
      </w:pPr>
      <w:r>
        <w:rPr>
          <w:rFonts w:hint="eastAsia" w:ascii="黑体" w:eastAsia="黑体"/>
          <w:sz w:val="32"/>
          <w:szCs w:val="32"/>
        </w:rPr>
        <w:t>附件1</w:t>
      </w:r>
    </w:p>
    <w:p>
      <w:pPr>
        <w:tabs>
          <w:tab w:val="left" w:pos="5220"/>
        </w:tabs>
        <w:jc w:val="center"/>
        <w:rPr>
          <w:rFonts w:ascii="文星标宋" w:hAnsi="文星标宋" w:eastAsia="文星标宋" w:cs="宋体"/>
          <w:bCs/>
          <w:sz w:val="36"/>
          <w:szCs w:val="36"/>
        </w:rPr>
      </w:pPr>
      <w:r>
        <w:rPr>
          <w:rFonts w:ascii="文星标宋" w:hAnsi="文星标宋" w:eastAsia="文星标宋" w:cs="宋体"/>
          <w:bCs/>
          <w:sz w:val="36"/>
          <w:szCs w:val="36"/>
        </w:rPr>
        <w:t>2023</w:t>
      </w:r>
      <w:r>
        <w:rPr>
          <w:rFonts w:hint="eastAsia" w:ascii="文星标宋" w:hAnsi="文星标宋" w:eastAsia="文星标宋" w:cs="宋体"/>
          <w:bCs/>
          <w:sz w:val="36"/>
          <w:szCs w:val="36"/>
        </w:rPr>
        <w:t>年第</w:t>
      </w:r>
      <w:r>
        <w:rPr>
          <w:rFonts w:ascii="文星标宋" w:hAnsi="文星标宋" w:eastAsia="文星标宋" w:cs="宋体"/>
          <w:bCs/>
          <w:sz w:val="36"/>
          <w:szCs w:val="36"/>
        </w:rPr>
        <w:t>二</w:t>
      </w:r>
      <w:r>
        <w:rPr>
          <w:rFonts w:hint="eastAsia" w:ascii="文星标宋" w:hAnsi="文星标宋" w:eastAsia="文星标宋" w:cs="宋体"/>
          <w:bCs/>
          <w:sz w:val="36"/>
          <w:szCs w:val="36"/>
        </w:rPr>
        <w:t>季度备案的市政府部门规范性文件目录</w:t>
      </w:r>
    </w:p>
    <w:tbl>
      <w:tblPr>
        <w:tblStyle w:val="8"/>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5670"/>
        <w:gridCol w:w="2349"/>
        <w:gridCol w:w="2174"/>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51" w:type="dxa"/>
            <w:vAlign w:val="center"/>
          </w:tcPr>
          <w:p>
            <w:pPr>
              <w:jc w:val="center"/>
              <w:rPr>
                <w:b/>
                <w:szCs w:val="21"/>
              </w:rPr>
            </w:pPr>
            <w:r>
              <w:rPr>
                <w:rFonts w:hint="eastAsia"/>
                <w:b/>
                <w:szCs w:val="21"/>
              </w:rPr>
              <w:t>制定单位</w:t>
            </w:r>
          </w:p>
        </w:tc>
        <w:tc>
          <w:tcPr>
            <w:tcW w:w="5670" w:type="dxa"/>
            <w:vAlign w:val="center"/>
          </w:tcPr>
          <w:p>
            <w:pPr>
              <w:jc w:val="center"/>
              <w:rPr>
                <w:b/>
                <w:szCs w:val="21"/>
              </w:rPr>
            </w:pPr>
            <w:r>
              <w:rPr>
                <w:rFonts w:hint="eastAsia"/>
                <w:b/>
                <w:szCs w:val="21"/>
              </w:rPr>
              <w:t>文件名称</w:t>
            </w:r>
          </w:p>
        </w:tc>
        <w:tc>
          <w:tcPr>
            <w:tcW w:w="2349" w:type="dxa"/>
            <w:vAlign w:val="center"/>
          </w:tcPr>
          <w:p>
            <w:pPr>
              <w:jc w:val="center"/>
              <w:rPr>
                <w:b/>
                <w:szCs w:val="21"/>
              </w:rPr>
            </w:pPr>
            <w:r>
              <w:rPr>
                <w:rFonts w:hint="eastAsia"/>
                <w:b/>
                <w:szCs w:val="21"/>
              </w:rPr>
              <w:t>发文字号</w:t>
            </w:r>
          </w:p>
        </w:tc>
        <w:tc>
          <w:tcPr>
            <w:tcW w:w="2174" w:type="dxa"/>
            <w:vAlign w:val="center"/>
          </w:tcPr>
          <w:p>
            <w:pPr>
              <w:jc w:val="center"/>
              <w:rPr>
                <w:b/>
                <w:szCs w:val="21"/>
              </w:rPr>
            </w:pPr>
            <w:r>
              <w:rPr>
                <w:rFonts w:hint="eastAsia"/>
                <w:b/>
                <w:szCs w:val="21"/>
              </w:rPr>
              <w:t>发布日期</w:t>
            </w:r>
          </w:p>
        </w:tc>
        <w:tc>
          <w:tcPr>
            <w:tcW w:w="1856" w:type="dxa"/>
            <w:vAlign w:val="center"/>
          </w:tcPr>
          <w:p>
            <w:pPr>
              <w:jc w:val="center"/>
              <w:rPr>
                <w:b/>
                <w:szCs w:val="21"/>
              </w:rPr>
            </w:pPr>
            <w:r>
              <w:rPr>
                <w:rFonts w:hint="eastAsia"/>
                <w:b/>
                <w:szCs w:val="21"/>
              </w:rPr>
              <w:t>登记号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Align w:val="center"/>
          </w:tcPr>
          <w:p>
            <w:pPr>
              <w:jc w:val="left"/>
            </w:pPr>
            <w:r>
              <w:rPr>
                <w:rFonts w:hint="eastAsia"/>
              </w:rPr>
              <w:t>青岛市公安局</w:t>
            </w:r>
          </w:p>
        </w:tc>
        <w:tc>
          <w:tcPr>
            <w:tcW w:w="5670" w:type="dxa"/>
            <w:vAlign w:val="center"/>
          </w:tcPr>
          <w:p>
            <w:pPr>
              <w:jc w:val="left"/>
            </w:pPr>
            <w:r>
              <w:rPr>
                <w:rFonts w:hint="eastAsia"/>
              </w:rPr>
              <w:t>青岛市公安局 青岛市交通运输局关于公布《青岛市轨道交通禁止限制携带物品目录》的通告</w:t>
            </w:r>
          </w:p>
        </w:tc>
        <w:tc>
          <w:tcPr>
            <w:tcW w:w="2349" w:type="dxa"/>
            <w:vAlign w:val="center"/>
          </w:tcPr>
          <w:p>
            <w:pPr>
              <w:jc w:val="left"/>
            </w:pPr>
            <w:r>
              <w:rPr>
                <w:rFonts w:hint="eastAsia"/>
              </w:rPr>
              <w:t>青公规〔2023〕2号</w:t>
            </w:r>
          </w:p>
        </w:tc>
        <w:tc>
          <w:tcPr>
            <w:tcW w:w="2174" w:type="dxa"/>
            <w:vAlign w:val="center"/>
          </w:tcPr>
          <w:p>
            <w:pPr>
              <w:jc w:val="left"/>
            </w:pPr>
            <w:r>
              <w:rPr>
                <w:rFonts w:hint="eastAsia"/>
              </w:rPr>
              <w:t>2023年5月11日</w:t>
            </w:r>
          </w:p>
        </w:tc>
        <w:tc>
          <w:tcPr>
            <w:tcW w:w="1856" w:type="dxa"/>
            <w:vAlign w:val="center"/>
          </w:tcPr>
          <w:p>
            <w:pPr>
              <w:jc w:val="left"/>
            </w:pPr>
            <w:r>
              <w:rPr>
                <w:rFonts w:hint="eastAsia"/>
              </w:rPr>
              <w:t>QDCR-2023-0070002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Align w:val="center"/>
          </w:tcPr>
          <w:p>
            <w:pPr>
              <w:widowControl/>
              <w:jc w:val="left"/>
            </w:pPr>
            <w:r>
              <w:rPr>
                <w:rFonts w:hint="eastAsia"/>
              </w:rPr>
              <w:t>青岛市人力资源和社会保障局</w:t>
            </w:r>
          </w:p>
        </w:tc>
        <w:tc>
          <w:tcPr>
            <w:tcW w:w="5670" w:type="dxa"/>
            <w:vAlign w:val="center"/>
          </w:tcPr>
          <w:p>
            <w:pPr>
              <w:jc w:val="left"/>
            </w:pPr>
            <w:r>
              <w:rPr>
                <w:rFonts w:hint="eastAsia"/>
              </w:rPr>
              <w:t>青岛市人力资源和社会保障局 青岛市财政局 青岛市卫生健康委员会 青岛市应急管理局关于继续执行《关于开展工伤预防工作的实施意见》的通知</w:t>
            </w:r>
          </w:p>
        </w:tc>
        <w:tc>
          <w:tcPr>
            <w:tcW w:w="2349" w:type="dxa"/>
            <w:vAlign w:val="center"/>
          </w:tcPr>
          <w:p>
            <w:pPr>
              <w:jc w:val="left"/>
            </w:pPr>
            <w:r>
              <w:rPr>
                <w:rFonts w:hint="eastAsia"/>
              </w:rPr>
              <w:t>青人社规〔2023〕1号</w:t>
            </w:r>
          </w:p>
        </w:tc>
        <w:tc>
          <w:tcPr>
            <w:tcW w:w="2174" w:type="dxa"/>
            <w:vAlign w:val="center"/>
          </w:tcPr>
          <w:p>
            <w:pPr>
              <w:jc w:val="left"/>
            </w:pPr>
            <w:r>
              <w:rPr>
                <w:rFonts w:hint="eastAsia"/>
              </w:rPr>
              <w:t>2023年6月6日</w:t>
            </w:r>
          </w:p>
        </w:tc>
        <w:tc>
          <w:tcPr>
            <w:tcW w:w="1856" w:type="dxa"/>
            <w:vAlign w:val="center"/>
          </w:tcPr>
          <w:p>
            <w:pPr>
              <w:jc w:val="left"/>
            </w:pPr>
            <w:r>
              <w:rPr>
                <w:rFonts w:hint="eastAsia"/>
              </w:rPr>
              <w:t>QDCR-2023-0110001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Merge w:val="restart"/>
            <w:vAlign w:val="center"/>
          </w:tcPr>
          <w:p>
            <w:pPr>
              <w:jc w:val="left"/>
            </w:pPr>
            <w:r>
              <w:rPr>
                <w:rFonts w:hint="eastAsia"/>
              </w:rPr>
              <w:t>青岛市住房和城乡建设局</w:t>
            </w:r>
          </w:p>
          <w:p>
            <w:pPr>
              <w:jc w:val="left"/>
            </w:pPr>
          </w:p>
        </w:tc>
        <w:tc>
          <w:tcPr>
            <w:tcW w:w="5670" w:type="dxa"/>
            <w:vAlign w:val="center"/>
          </w:tcPr>
          <w:p>
            <w:pPr>
              <w:jc w:val="left"/>
            </w:pPr>
            <w:r>
              <w:rPr>
                <w:rFonts w:hint="eastAsia"/>
              </w:rPr>
              <w:t>青岛市住房和城乡建设局关于进一步加强房屋建筑和市政基础设施工程招投标监督管理工作的通知</w:t>
            </w:r>
          </w:p>
        </w:tc>
        <w:tc>
          <w:tcPr>
            <w:tcW w:w="2349" w:type="dxa"/>
            <w:vAlign w:val="center"/>
          </w:tcPr>
          <w:p>
            <w:pPr>
              <w:jc w:val="left"/>
            </w:pPr>
            <w:r>
              <w:rPr>
                <w:rFonts w:hint="eastAsia"/>
              </w:rPr>
              <w:t>青建规字〔2023〕1号</w:t>
            </w:r>
          </w:p>
        </w:tc>
        <w:tc>
          <w:tcPr>
            <w:tcW w:w="2174" w:type="dxa"/>
            <w:vAlign w:val="center"/>
          </w:tcPr>
          <w:p>
            <w:pPr>
              <w:jc w:val="left"/>
            </w:pPr>
            <w:r>
              <w:rPr>
                <w:rFonts w:hint="eastAsia"/>
              </w:rPr>
              <w:t>2023年4月3日</w:t>
            </w:r>
          </w:p>
        </w:tc>
        <w:tc>
          <w:tcPr>
            <w:tcW w:w="1856" w:type="dxa"/>
            <w:vAlign w:val="center"/>
          </w:tcPr>
          <w:p>
            <w:pPr>
              <w:jc w:val="left"/>
            </w:pPr>
            <w:r>
              <w:rPr>
                <w:rFonts w:hint="eastAsia"/>
              </w:rPr>
              <w:t>QDCR-2023-0140001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Merge w:val="continue"/>
            <w:vAlign w:val="center"/>
          </w:tcPr>
          <w:p>
            <w:pPr>
              <w:jc w:val="left"/>
            </w:pPr>
          </w:p>
        </w:tc>
        <w:tc>
          <w:tcPr>
            <w:tcW w:w="5670" w:type="dxa"/>
            <w:vAlign w:val="center"/>
          </w:tcPr>
          <w:p>
            <w:pPr>
              <w:jc w:val="left"/>
            </w:pPr>
            <w:r>
              <w:rPr>
                <w:rFonts w:hint="eastAsia"/>
              </w:rPr>
              <w:t>青岛市住房和城乡建设局关于延长部分规范性文件有效期的通知（青岛市住房和城乡建设局关于印发《青岛市住房和城乡建设局建筑废弃物再生产品推广应用实施细则》的通知）</w:t>
            </w:r>
          </w:p>
        </w:tc>
        <w:tc>
          <w:tcPr>
            <w:tcW w:w="2349" w:type="dxa"/>
            <w:vAlign w:val="center"/>
          </w:tcPr>
          <w:p>
            <w:pPr>
              <w:jc w:val="left"/>
            </w:pPr>
            <w:r>
              <w:rPr>
                <w:rFonts w:hint="eastAsia"/>
              </w:rPr>
              <w:t>青建发〔2023〕10号</w:t>
            </w:r>
          </w:p>
        </w:tc>
        <w:tc>
          <w:tcPr>
            <w:tcW w:w="2174" w:type="dxa"/>
            <w:vAlign w:val="center"/>
          </w:tcPr>
          <w:p>
            <w:pPr>
              <w:jc w:val="left"/>
            </w:pPr>
            <w:r>
              <w:rPr>
                <w:rFonts w:hint="eastAsia"/>
              </w:rPr>
              <w:t>2023年4月10日</w:t>
            </w:r>
          </w:p>
        </w:tc>
        <w:tc>
          <w:tcPr>
            <w:tcW w:w="1856" w:type="dxa"/>
            <w:vAlign w:val="center"/>
          </w:tcPr>
          <w:p>
            <w:pPr>
              <w:jc w:val="left"/>
            </w:pPr>
            <w:r>
              <w:rPr>
                <w:rFonts w:hint="eastAsia"/>
              </w:rPr>
              <w:t>QDCR-2023-0140002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Merge w:val="continue"/>
            <w:vAlign w:val="center"/>
          </w:tcPr>
          <w:p>
            <w:pPr>
              <w:jc w:val="left"/>
            </w:pPr>
          </w:p>
        </w:tc>
        <w:tc>
          <w:tcPr>
            <w:tcW w:w="5670" w:type="dxa"/>
            <w:vAlign w:val="center"/>
          </w:tcPr>
          <w:p>
            <w:pPr>
              <w:jc w:val="left"/>
            </w:pPr>
            <w:r>
              <w:rPr>
                <w:rFonts w:hint="eastAsia"/>
              </w:rPr>
              <w:t>青岛市住房和城乡建设局关于延长部分规范性文件有效期的通知（青岛市住房和城乡建设局关于印发《青岛市住房和城乡建设局建筑废弃物资源化利用生产经营管理办法》的通知)</w:t>
            </w:r>
          </w:p>
        </w:tc>
        <w:tc>
          <w:tcPr>
            <w:tcW w:w="2349" w:type="dxa"/>
            <w:vAlign w:val="center"/>
          </w:tcPr>
          <w:p>
            <w:pPr>
              <w:jc w:val="left"/>
            </w:pPr>
            <w:r>
              <w:rPr>
                <w:rFonts w:hint="eastAsia"/>
              </w:rPr>
              <w:t>青建发〔2023〕10号</w:t>
            </w:r>
          </w:p>
        </w:tc>
        <w:tc>
          <w:tcPr>
            <w:tcW w:w="2174" w:type="dxa"/>
            <w:vAlign w:val="center"/>
          </w:tcPr>
          <w:p>
            <w:pPr>
              <w:jc w:val="left"/>
            </w:pPr>
            <w:r>
              <w:rPr>
                <w:rFonts w:hint="eastAsia"/>
              </w:rPr>
              <w:t>2023年4月10日</w:t>
            </w:r>
          </w:p>
        </w:tc>
        <w:tc>
          <w:tcPr>
            <w:tcW w:w="1856" w:type="dxa"/>
            <w:vAlign w:val="center"/>
          </w:tcPr>
          <w:p>
            <w:pPr>
              <w:jc w:val="left"/>
            </w:pPr>
            <w:r>
              <w:rPr>
                <w:rFonts w:hint="eastAsia"/>
              </w:rPr>
              <w:t>QDCR-2023-0140003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Merge w:val="continue"/>
            <w:vAlign w:val="center"/>
          </w:tcPr>
          <w:p>
            <w:pPr>
              <w:jc w:val="left"/>
            </w:pPr>
          </w:p>
        </w:tc>
        <w:tc>
          <w:tcPr>
            <w:tcW w:w="5670" w:type="dxa"/>
            <w:vAlign w:val="center"/>
          </w:tcPr>
          <w:p>
            <w:pPr>
              <w:jc w:val="left"/>
            </w:pPr>
            <w:r>
              <w:rPr>
                <w:rFonts w:hint="eastAsia"/>
              </w:rPr>
              <w:t>青岛市住房和城乡建设局关于延长部分规范性文件有效期的通知（青岛市住房和城乡建设局关于印发《青岛市住房和城乡建设局建筑废弃物资源化利用方案编制与备案管理规定》的通知）</w:t>
            </w:r>
          </w:p>
        </w:tc>
        <w:tc>
          <w:tcPr>
            <w:tcW w:w="2349" w:type="dxa"/>
            <w:vAlign w:val="center"/>
          </w:tcPr>
          <w:p>
            <w:pPr>
              <w:jc w:val="left"/>
            </w:pPr>
            <w:r>
              <w:rPr>
                <w:rFonts w:hint="eastAsia"/>
              </w:rPr>
              <w:t>青建发〔2023〕10号</w:t>
            </w:r>
          </w:p>
        </w:tc>
        <w:tc>
          <w:tcPr>
            <w:tcW w:w="2174" w:type="dxa"/>
            <w:vAlign w:val="center"/>
          </w:tcPr>
          <w:p>
            <w:pPr>
              <w:jc w:val="left"/>
            </w:pPr>
            <w:r>
              <w:rPr>
                <w:rFonts w:hint="eastAsia"/>
              </w:rPr>
              <w:t>2023年4月10日</w:t>
            </w:r>
          </w:p>
        </w:tc>
        <w:tc>
          <w:tcPr>
            <w:tcW w:w="1856" w:type="dxa"/>
            <w:vAlign w:val="center"/>
          </w:tcPr>
          <w:p>
            <w:pPr>
              <w:jc w:val="left"/>
            </w:pPr>
            <w:r>
              <w:rPr>
                <w:rFonts w:hint="eastAsia"/>
              </w:rPr>
              <w:t>QDCR-2023-0140004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Align w:val="center"/>
          </w:tcPr>
          <w:p>
            <w:pPr>
              <w:jc w:val="left"/>
            </w:pPr>
            <w:r>
              <w:rPr>
                <w:rFonts w:hint="eastAsia"/>
              </w:rPr>
              <w:t>青岛市交通运输局</w:t>
            </w:r>
          </w:p>
        </w:tc>
        <w:tc>
          <w:tcPr>
            <w:tcW w:w="5670" w:type="dxa"/>
            <w:vAlign w:val="center"/>
          </w:tcPr>
          <w:p>
            <w:pPr>
              <w:jc w:val="left"/>
            </w:pPr>
            <w:r>
              <w:rPr>
                <w:rFonts w:hint="eastAsia"/>
              </w:rPr>
              <w:t xml:space="preserve">青岛市交通运输局关于延长《青岛市交通运输委员会道路运输及相关企业质量信誉考核实施办法》有效期的通知 </w:t>
            </w:r>
          </w:p>
        </w:tc>
        <w:tc>
          <w:tcPr>
            <w:tcW w:w="2349" w:type="dxa"/>
            <w:vAlign w:val="center"/>
          </w:tcPr>
          <w:p>
            <w:pPr>
              <w:jc w:val="left"/>
            </w:pPr>
            <w:r>
              <w:rPr>
                <w:rFonts w:hint="eastAsia"/>
              </w:rPr>
              <w:t>青交运管〔2023〕3号</w:t>
            </w:r>
          </w:p>
        </w:tc>
        <w:tc>
          <w:tcPr>
            <w:tcW w:w="2174" w:type="dxa"/>
            <w:vAlign w:val="center"/>
          </w:tcPr>
          <w:p>
            <w:pPr>
              <w:jc w:val="left"/>
            </w:pPr>
            <w:r>
              <w:rPr>
                <w:rFonts w:hint="eastAsia"/>
              </w:rPr>
              <w:t>2023年4月26日</w:t>
            </w:r>
          </w:p>
        </w:tc>
        <w:tc>
          <w:tcPr>
            <w:tcW w:w="1856" w:type="dxa"/>
            <w:vAlign w:val="center"/>
          </w:tcPr>
          <w:p>
            <w:pPr>
              <w:jc w:val="left"/>
            </w:pPr>
            <w:r>
              <w:rPr>
                <w:rFonts w:hint="eastAsia"/>
              </w:rPr>
              <w:t>QDCR-2023-0160001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Align w:val="center"/>
          </w:tcPr>
          <w:p>
            <w:pPr>
              <w:jc w:val="left"/>
            </w:pPr>
            <w:r>
              <w:rPr>
                <w:rFonts w:hint="eastAsia"/>
              </w:rPr>
              <w:t>青岛市水务管理局</w:t>
            </w:r>
          </w:p>
        </w:tc>
        <w:tc>
          <w:tcPr>
            <w:tcW w:w="5670" w:type="dxa"/>
            <w:vAlign w:val="center"/>
          </w:tcPr>
          <w:p>
            <w:pPr>
              <w:jc w:val="left"/>
            </w:pPr>
            <w:r>
              <w:rPr>
                <w:rFonts w:hint="eastAsia"/>
              </w:rPr>
              <w:t>青岛市水务管理局 青岛市人力资源和社会保障局关于印发《青岛市小型水库巡库员管理实施细则（试行）》的通知）》</w:t>
            </w:r>
          </w:p>
        </w:tc>
        <w:tc>
          <w:tcPr>
            <w:tcW w:w="2349" w:type="dxa"/>
            <w:vAlign w:val="center"/>
          </w:tcPr>
          <w:p>
            <w:pPr>
              <w:jc w:val="left"/>
            </w:pPr>
            <w:r>
              <w:rPr>
                <w:rFonts w:hint="eastAsia"/>
              </w:rPr>
              <w:t>青水规〔2023〕1号</w:t>
            </w:r>
          </w:p>
        </w:tc>
        <w:tc>
          <w:tcPr>
            <w:tcW w:w="2174" w:type="dxa"/>
            <w:vAlign w:val="center"/>
          </w:tcPr>
          <w:p>
            <w:pPr>
              <w:jc w:val="left"/>
            </w:pPr>
            <w:r>
              <w:rPr>
                <w:rFonts w:hint="eastAsia"/>
              </w:rPr>
              <w:t>2023年5月24日</w:t>
            </w:r>
          </w:p>
        </w:tc>
        <w:tc>
          <w:tcPr>
            <w:tcW w:w="1856" w:type="dxa"/>
            <w:vAlign w:val="center"/>
          </w:tcPr>
          <w:p>
            <w:pPr>
              <w:jc w:val="left"/>
            </w:pPr>
            <w:r>
              <w:rPr>
                <w:rFonts w:hint="eastAsia"/>
              </w:rPr>
              <w:t>QDCR-2023-0170001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trPr>
        <w:tc>
          <w:tcPr>
            <w:tcW w:w="1951" w:type="dxa"/>
            <w:vMerge w:val="restart"/>
            <w:vAlign w:val="center"/>
          </w:tcPr>
          <w:p>
            <w:pPr>
              <w:jc w:val="left"/>
            </w:pPr>
            <w:r>
              <w:rPr>
                <w:rFonts w:hint="eastAsia"/>
              </w:rPr>
              <w:t>青岛市农业农村局</w:t>
            </w:r>
          </w:p>
        </w:tc>
        <w:tc>
          <w:tcPr>
            <w:tcW w:w="5670" w:type="dxa"/>
            <w:vAlign w:val="center"/>
          </w:tcPr>
          <w:p>
            <w:pPr>
              <w:jc w:val="left"/>
            </w:pPr>
            <w:r>
              <w:rPr>
                <w:rFonts w:hint="eastAsia"/>
              </w:rPr>
              <w:t>青岛市农业农村局 青岛市财政局关于印发《青岛市农业违法行为举报奖励办法（试行）》的通知</w:t>
            </w:r>
          </w:p>
        </w:tc>
        <w:tc>
          <w:tcPr>
            <w:tcW w:w="2349" w:type="dxa"/>
            <w:vAlign w:val="center"/>
          </w:tcPr>
          <w:p>
            <w:pPr>
              <w:jc w:val="left"/>
            </w:pPr>
            <w:r>
              <w:rPr>
                <w:rFonts w:hint="eastAsia"/>
              </w:rPr>
              <w:t>青农规〔2023〕1号</w:t>
            </w:r>
          </w:p>
        </w:tc>
        <w:tc>
          <w:tcPr>
            <w:tcW w:w="2174" w:type="dxa"/>
            <w:vAlign w:val="center"/>
          </w:tcPr>
          <w:p>
            <w:pPr>
              <w:jc w:val="left"/>
            </w:pPr>
            <w:r>
              <w:rPr>
                <w:rFonts w:hint="eastAsia"/>
              </w:rPr>
              <w:t>2023年4月20日</w:t>
            </w:r>
          </w:p>
        </w:tc>
        <w:tc>
          <w:tcPr>
            <w:tcW w:w="1856" w:type="dxa"/>
            <w:vAlign w:val="center"/>
          </w:tcPr>
          <w:p>
            <w:pPr>
              <w:jc w:val="left"/>
            </w:pPr>
            <w:r>
              <w:rPr>
                <w:rFonts w:hint="eastAsia"/>
              </w:rPr>
              <w:t>QDCR-2023-0180001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atLeast"/>
        </w:trPr>
        <w:tc>
          <w:tcPr>
            <w:tcW w:w="1951" w:type="dxa"/>
            <w:vMerge w:val="continue"/>
            <w:vAlign w:val="center"/>
          </w:tcPr>
          <w:p>
            <w:pPr>
              <w:jc w:val="center"/>
              <w:rPr>
                <w:rFonts w:ascii="宋体" w:hAnsi="宋体" w:cs="宋体"/>
                <w:color w:val="000000"/>
                <w:sz w:val="24"/>
              </w:rPr>
            </w:pPr>
          </w:p>
        </w:tc>
        <w:tc>
          <w:tcPr>
            <w:tcW w:w="5670" w:type="dxa"/>
            <w:vAlign w:val="center"/>
          </w:tcPr>
          <w:p>
            <w:pPr>
              <w:jc w:val="left"/>
              <w:rPr>
                <w:rFonts w:ascii="宋体" w:hAnsi="宋体" w:cs="宋体"/>
                <w:color w:val="000000"/>
                <w:sz w:val="24"/>
              </w:rPr>
            </w:pPr>
            <w:r>
              <w:rPr>
                <w:rFonts w:hint="eastAsia"/>
                <w:color w:val="000000"/>
              </w:rPr>
              <w:t>青岛市农业农村局关于印发《青岛市农业行政处罚裁量基准（2023版）》的通知</w:t>
            </w:r>
          </w:p>
        </w:tc>
        <w:tc>
          <w:tcPr>
            <w:tcW w:w="2349" w:type="dxa"/>
            <w:vAlign w:val="center"/>
          </w:tcPr>
          <w:p>
            <w:pPr>
              <w:jc w:val="left"/>
              <w:rPr>
                <w:rFonts w:ascii="宋体" w:hAnsi="宋体" w:cs="宋体"/>
                <w:color w:val="000000"/>
                <w:sz w:val="24"/>
              </w:rPr>
            </w:pPr>
            <w:r>
              <w:rPr>
                <w:rFonts w:hint="eastAsia"/>
                <w:color w:val="000000"/>
              </w:rPr>
              <w:t>青农规〔2023〕2号</w:t>
            </w:r>
          </w:p>
        </w:tc>
        <w:tc>
          <w:tcPr>
            <w:tcW w:w="2174" w:type="dxa"/>
            <w:vAlign w:val="center"/>
          </w:tcPr>
          <w:p>
            <w:pPr>
              <w:jc w:val="left"/>
              <w:rPr>
                <w:rFonts w:ascii="宋体" w:hAnsi="宋体" w:cs="宋体"/>
                <w:color w:val="000000"/>
                <w:sz w:val="24"/>
              </w:rPr>
            </w:pPr>
            <w:r>
              <w:rPr>
                <w:rFonts w:hint="eastAsia"/>
                <w:color w:val="000000"/>
              </w:rPr>
              <w:t>2023年5月4日</w:t>
            </w:r>
          </w:p>
        </w:tc>
        <w:tc>
          <w:tcPr>
            <w:tcW w:w="1856" w:type="dxa"/>
            <w:vAlign w:val="center"/>
          </w:tcPr>
          <w:p>
            <w:pPr>
              <w:jc w:val="left"/>
              <w:rPr>
                <w:rFonts w:ascii="宋体" w:hAnsi="宋体" w:cs="宋体"/>
                <w:color w:val="000000"/>
                <w:sz w:val="24"/>
              </w:rPr>
            </w:pPr>
            <w:r>
              <w:rPr>
                <w:rFonts w:hint="eastAsia"/>
                <w:color w:val="000000"/>
              </w:rPr>
              <w:t>QDCR-2023-0180002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Merge w:val="restart"/>
            <w:vAlign w:val="center"/>
          </w:tcPr>
          <w:p>
            <w:pPr>
              <w:jc w:val="left"/>
            </w:pPr>
            <w:r>
              <w:rPr>
                <w:rFonts w:hint="eastAsia"/>
              </w:rPr>
              <w:t>青岛市卫生健康委员会</w:t>
            </w:r>
          </w:p>
        </w:tc>
        <w:tc>
          <w:tcPr>
            <w:tcW w:w="5670" w:type="dxa"/>
            <w:vAlign w:val="center"/>
          </w:tcPr>
          <w:p>
            <w:pPr>
              <w:jc w:val="left"/>
            </w:pPr>
            <w:r>
              <w:rPr>
                <w:rFonts w:hint="eastAsia"/>
              </w:rPr>
              <w:t>青岛市卫生健康委员会关于延长部分规范性文件有效期的通知（</w:t>
            </w:r>
            <w:r>
              <w:t>青岛市卫生和计划生育委员会关于印发《〈青岛市生活饮用水卫生监督管理办法〉行政处罚裁量基准》的通知</w:t>
            </w:r>
            <w:r>
              <w:rPr>
                <w:rFonts w:hint="eastAsia"/>
              </w:rPr>
              <w:t>）</w:t>
            </w:r>
          </w:p>
        </w:tc>
        <w:tc>
          <w:tcPr>
            <w:tcW w:w="2349" w:type="dxa"/>
            <w:vAlign w:val="center"/>
          </w:tcPr>
          <w:p>
            <w:pPr>
              <w:jc w:val="left"/>
            </w:pPr>
            <w:r>
              <w:rPr>
                <w:rFonts w:hint="eastAsia"/>
              </w:rPr>
              <w:t>青卫政发〔2023〕4号</w:t>
            </w:r>
          </w:p>
        </w:tc>
        <w:tc>
          <w:tcPr>
            <w:tcW w:w="2174" w:type="dxa"/>
            <w:vAlign w:val="center"/>
          </w:tcPr>
          <w:p>
            <w:pPr>
              <w:jc w:val="left"/>
            </w:pPr>
            <w:r>
              <w:rPr>
                <w:rFonts w:hint="eastAsia"/>
              </w:rPr>
              <w:t>2023年5月30日</w:t>
            </w:r>
          </w:p>
        </w:tc>
        <w:tc>
          <w:tcPr>
            <w:tcW w:w="1856" w:type="dxa"/>
            <w:vAlign w:val="center"/>
          </w:tcPr>
          <w:p>
            <w:pPr>
              <w:jc w:val="left"/>
            </w:pPr>
            <w:r>
              <w:rPr>
                <w:rFonts w:hint="eastAsia"/>
              </w:rPr>
              <w:t xml:space="preserve">QDCR-2023-0230001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Merge w:val="continue"/>
            <w:vAlign w:val="center"/>
          </w:tcPr>
          <w:p>
            <w:pPr>
              <w:jc w:val="left"/>
            </w:pPr>
          </w:p>
        </w:tc>
        <w:tc>
          <w:tcPr>
            <w:tcW w:w="5670" w:type="dxa"/>
            <w:vAlign w:val="center"/>
          </w:tcPr>
          <w:p>
            <w:pPr>
              <w:jc w:val="left"/>
            </w:pPr>
            <w:r>
              <w:rPr>
                <w:rFonts w:hint="eastAsia"/>
              </w:rPr>
              <w:t>青岛市卫生健康委员会关于延长部分规范性文件有效期的通知（</w:t>
            </w:r>
            <w:r>
              <w:t>青岛市卫生和计划生育委员会关于印发《青岛市卫生和计划生育委员会综合治理出生人口性别比工作规定》的通知</w:t>
            </w:r>
            <w:r>
              <w:rPr>
                <w:rFonts w:hint="eastAsia"/>
              </w:rPr>
              <w:t>）</w:t>
            </w:r>
          </w:p>
        </w:tc>
        <w:tc>
          <w:tcPr>
            <w:tcW w:w="2349" w:type="dxa"/>
            <w:vAlign w:val="center"/>
          </w:tcPr>
          <w:p>
            <w:pPr>
              <w:jc w:val="left"/>
            </w:pPr>
            <w:r>
              <w:rPr>
                <w:rFonts w:hint="eastAsia"/>
              </w:rPr>
              <w:t>青卫政发〔2023〕4号</w:t>
            </w:r>
          </w:p>
        </w:tc>
        <w:tc>
          <w:tcPr>
            <w:tcW w:w="2174" w:type="dxa"/>
            <w:vAlign w:val="center"/>
          </w:tcPr>
          <w:p>
            <w:pPr>
              <w:jc w:val="left"/>
            </w:pPr>
            <w:r>
              <w:rPr>
                <w:rFonts w:hint="eastAsia"/>
              </w:rPr>
              <w:t>2023年5月30日</w:t>
            </w:r>
          </w:p>
        </w:tc>
        <w:tc>
          <w:tcPr>
            <w:tcW w:w="1856" w:type="dxa"/>
            <w:vAlign w:val="center"/>
          </w:tcPr>
          <w:p>
            <w:pPr>
              <w:jc w:val="left"/>
            </w:pPr>
            <w:r>
              <w:rPr>
                <w:rFonts w:hint="eastAsia"/>
              </w:rPr>
              <w:t>QDCR-2023-0230002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Merge w:val="continue"/>
            <w:vAlign w:val="center"/>
          </w:tcPr>
          <w:p>
            <w:pPr>
              <w:jc w:val="center"/>
              <w:rPr>
                <w:rFonts w:ascii="宋体" w:hAnsi="宋体" w:cs="宋体"/>
                <w:color w:val="000000"/>
                <w:sz w:val="24"/>
              </w:rPr>
            </w:pPr>
          </w:p>
        </w:tc>
        <w:tc>
          <w:tcPr>
            <w:tcW w:w="5670" w:type="dxa"/>
            <w:vAlign w:val="center"/>
          </w:tcPr>
          <w:p>
            <w:pPr>
              <w:jc w:val="left"/>
              <w:rPr>
                <w:rFonts w:ascii="宋体" w:hAnsi="宋体" w:cs="宋体"/>
                <w:color w:val="000000"/>
                <w:sz w:val="24"/>
              </w:rPr>
            </w:pPr>
            <w:r>
              <w:rPr>
                <w:rFonts w:hint="eastAsia"/>
                <w:color w:val="000000"/>
              </w:rPr>
              <w:t>青岛市卫生健康委员会关于印发无偿献血者及其亲属用血费用报销管理办法的通知</w:t>
            </w:r>
          </w:p>
        </w:tc>
        <w:tc>
          <w:tcPr>
            <w:tcW w:w="2349" w:type="dxa"/>
            <w:vAlign w:val="center"/>
          </w:tcPr>
          <w:p>
            <w:pPr>
              <w:jc w:val="left"/>
              <w:rPr>
                <w:rFonts w:ascii="宋体" w:hAnsi="宋体" w:cs="宋体"/>
                <w:color w:val="000000"/>
                <w:sz w:val="24"/>
              </w:rPr>
            </w:pPr>
            <w:r>
              <w:rPr>
                <w:rFonts w:hint="eastAsia"/>
                <w:color w:val="000000"/>
              </w:rPr>
              <w:t>青卫规〔2023〕1号</w:t>
            </w:r>
          </w:p>
        </w:tc>
        <w:tc>
          <w:tcPr>
            <w:tcW w:w="2174" w:type="dxa"/>
            <w:vAlign w:val="center"/>
          </w:tcPr>
          <w:p>
            <w:pPr>
              <w:jc w:val="left"/>
              <w:rPr>
                <w:rFonts w:ascii="宋体" w:hAnsi="宋体" w:cs="宋体"/>
                <w:color w:val="000000"/>
                <w:sz w:val="22"/>
                <w:szCs w:val="22"/>
              </w:rPr>
            </w:pPr>
            <w:r>
              <w:rPr>
                <w:rFonts w:hint="eastAsia"/>
                <w:color w:val="000000"/>
                <w:sz w:val="22"/>
                <w:szCs w:val="22"/>
              </w:rPr>
              <w:t>2023年6月12日</w:t>
            </w:r>
          </w:p>
        </w:tc>
        <w:tc>
          <w:tcPr>
            <w:tcW w:w="1856" w:type="dxa"/>
            <w:vAlign w:val="center"/>
          </w:tcPr>
          <w:p>
            <w:pPr>
              <w:jc w:val="left"/>
              <w:rPr>
                <w:rFonts w:ascii="宋体" w:hAnsi="宋体" w:cs="宋体"/>
                <w:color w:val="000000"/>
                <w:sz w:val="22"/>
                <w:szCs w:val="22"/>
              </w:rPr>
            </w:pPr>
            <w:r>
              <w:rPr>
                <w:rFonts w:hint="eastAsia"/>
              </w:rPr>
              <w:t>QDCR-2023-0230003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vAlign w:val="center"/>
          </w:tcPr>
          <w:p>
            <w:pPr>
              <w:jc w:val="left"/>
            </w:pPr>
            <w:r>
              <w:rPr>
                <w:rFonts w:hint="eastAsia"/>
              </w:rPr>
              <w:t>青岛市市场监督管理局</w:t>
            </w:r>
          </w:p>
        </w:tc>
        <w:tc>
          <w:tcPr>
            <w:tcW w:w="5670" w:type="dxa"/>
            <w:vAlign w:val="center"/>
          </w:tcPr>
          <w:p>
            <w:pPr>
              <w:jc w:val="left"/>
            </w:pPr>
            <w:r>
              <w:rPr>
                <w:rFonts w:hint="eastAsia"/>
              </w:rPr>
              <w:t>青岛市市场监督管理局关于审慎实施行政强制措施的指导意见</w:t>
            </w:r>
          </w:p>
        </w:tc>
        <w:tc>
          <w:tcPr>
            <w:tcW w:w="2349" w:type="dxa"/>
            <w:vAlign w:val="center"/>
          </w:tcPr>
          <w:p>
            <w:pPr>
              <w:jc w:val="left"/>
            </w:pPr>
            <w:r>
              <w:rPr>
                <w:rFonts w:hint="eastAsia"/>
              </w:rPr>
              <w:t>青市监规〔2023〕1号</w:t>
            </w:r>
          </w:p>
        </w:tc>
        <w:tc>
          <w:tcPr>
            <w:tcW w:w="2174" w:type="dxa"/>
            <w:vAlign w:val="center"/>
          </w:tcPr>
          <w:p>
            <w:pPr>
              <w:jc w:val="left"/>
            </w:pPr>
            <w:r>
              <w:rPr>
                <w:rFonts w:hint="eastAsia"/>
              </w:rPr>
              <w:t>2023年4月10日</w:t>
            </w:r>
          </w:p>
        </w:tc>
        <w:tc>
          <w:tcPr>
            <w:tcW w:w="1856" w:type="dxa"/>
            <w:vAlign w:val="center"/>
          </w:tcPr>
          <w:p>
            <w:pPr>
              <w:jc w:val="left"/>
            </w:pPr>
            <w:r>
              <w:rPr>
                <w:rFonts w:hint="eastAsia"/>
              </w:rPr>
              <w:t>QDCR-2023-0290001</w:t>
            </w:r>
          </w:p>
        </w:tc>
      </w:tr>
    </w:tbl>
    <w:p>
      <w:pPr>
        <w:widowControl/>
        <w:jc w:val="left"/>
        <w:rPr>
          <w:rFonts w:ascii="黑体" w:eastAsia="黑体"/>
          <w:color w:val="FF0000"/>
          <w:sz w:val="32"/>
          <w:szCs w:val="32"/>
        </w:rPr>
      </w:pPr>
      <w:r>
        <w:rPr>
          <w:rFonts w:ascii="黑体" w:eastAsia="黑体"/>
          <w:color w:val="FF0000"/>
          <w:sz w:val="32"/>
          <w:szCs w:val="32"/>
        </w:rPr>
        <w:br w:type="page"/>
      </w:r>
      <w:r>
        <w:rPr>
          <w:rFonts w:hint="eastAsia" w:ascii="黑体" w:eastAsia="黑体"/>
          <w:sz w:val="32"/>
          <w:szCs w:val="32"/>
        </w:rPr>
        <w:t>附件2</w:t>
      </w:r>
    </w:p>
    <w:p>
      <w:pPr>
        <w:jc w:val="center"/>
        <w:rPr>
          <w:rFonts w:ascii="文星标宋" w:hAnsi="文星标宋" w:eastAsia="文星标宋"/>
          <w:bCs/>
          <w:sz w:val="36"/>
          <w:szCs w:val="36"/>
        </w:rPr>
      </w:pPr>
      <w:r>
        <w:rPr>
          <w:rFonts w:ascii="文星标宋" w:hAnsi="文星标宋" w:eastAsia="文星标宋"/>
          <w:bCs/>
          <w:sz w:val="36"/>
          <w:szCs w:val="36"/>
        </w:rPr>
        <w:t>2023</w:t>
      </w:r>
      <w:r>
        <w:rPr>
          <w:rFonts w:hint="eastAsia" w:ascii="文星标宋" w:hAnsi="文星标宋" w:eastAsia="文星标宋"/>
          <w:bCs/>
          <w:sz w:val="36"/>
          <w:szCs w:val="36"/>
        </w:rPr>
        <w:t>年</w:t>
      </w:r>
      <w:r>
        <w:rPr>
          <w:rFonts w:hint="eastAsia" w:ascii="文星标宋" w:hAnsi="文星标宋" w:eastAsia="文星标宋" w:cs="宋体"/>
          <w:bCs/>
          <w:sz w:val="36"/>
          <w:szCs w:val="36"/>
        </w:rPr>
        <w:t>第</w:t>
      </w:r>
      <w:r>
        <w:rPr>
          <w:rFonts w:ascii="文星标宋" w:hAnsi="文星标宋" w:eastAsia="文星标宋" w:cs="宋体"/>
          <w:bCs/>
          <w:sz w:val="36"/>
          <w:szCs w:val="36"/>
        </w:rPr>
        <w:t>二</w:t>
      </w:r>
      <w:r>
        <w:rPr>
          <w:rFonts w:hint="eastAsia" w:ascii="文星标宋" w:hAnsi="文星标宋" w:eastAsia="文星标宋"/>
          <w:bCs/>
          <w:sz w:val="36"/>
          <w:szCs w:val="36"/>
        </w:rPr>
        <w:t>季度备案的区（市</w:t>
      </w:r>
      <w:r>
        <w:rPr>
          <w:rFonts w:ascii="文星标宋" w:hAnsi="文星标宋" w:eastAsia="文星标宋"/>
          <w:bCs/>
          <w:sz w:val="36"/>
          <w:szCs w:val="36"/>
        </w:rPr>
        <w:t>）</w:t>
      </w:r>
      <w:r>
        <w:rPr>
          <w:rFonts w:hint="eastAsia" w:ascii="文星标宋" w:hAnsi="文星标宋" w:eastAsia="文星标宋"/>
          <w:bCs/>
          <w:sz w:val="36"/>
          <w:szCs w:val="36"/>
        </w:rPr>
        <w:t>政府规范性文件目录</w:t>
      </w:r>
    </w:p>
    <w:tbl>
      <w:tblPr>
        <w:tblStyle w:val="8"/>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5670"/>
        <w:gridCol w:w="2461"/>
        <w:gridCol w:w="179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51" w:type="dxa"/>
            <w:vAlign w:val="center"/>
          </w:tcPr>
          <w:p>
            <w:pPr>
              <w:jc w:val="center"/>
              <w:rPr>
                <w:b/>
                <w:szCs w:val="21"/>
              </w:rPr>
            </w:pPr>
            <w:r>
              <w:rPr>
                <w:rFonts w:hint="eastAsia"/>
                <w:b/>
                <w:szCs w:val="21"/>
              </w:rPr>
              <w:t>制定单位</w:t>
            </w:r>
          </w:p>
        </w:tc>
        <w:tc>
          <w:tcPr>
            <w:tcW w:w="5670" w:type="dxa"/>
            <w:vAlign w:val="center"/>
          </w:tcPr>
          <w:p>
            <w:pPr>
              <w:jc w:val="center"/>
              <w:rPr>
                <w:b/>
                <w:szCs w:val="21"/>
              </w:rPr>
            </w:pPr>
            <w:r>
              <w:rPr>
                <w:rFonts w:hint="eastAsia"/>
                <w:b/>
                <w:szCs w:val="21"/>
              </w:rPr>
              <w:t>文件名称</w:t>
            </w:r>
          </w:p>
        </w:tc>
        <w:tc>
          <w:tcPr>
            <w:tcW w:w="2461" w:type="dxa"/>
            <w:vAlign w:val="center"/>
          </w:tcPr>
          <w:p>
            <w:pPr>
              <w:jc w:val="center"/>
              <w:rPr>
                <w:b/>
                <w:szCs w:val="21"/>
              </w:rPr>
            </w:pPr>
            <w:r>
              <w:rPr>
                <w:rFonts w:hint="eastAsia"/>
                <w:b/>
                <w:szCs w:val="21"/>
              </w:rPr>
              <w:t>发文字号</w:t>
            </w:r>
          </w:p>
        </w:tc>
        <w:tc>
          <w:tcPr>
            <w:tcW w:w="1792" w:type="dxa"/>
            <w:vAlign w:val="center"/>
          </w:tcPr>
          <w:p>
            <w:pPr>
              <w:jc w:val="center"/>
              <w:rPr>
                <w:b/>
                <w:szCs w:val="21"/>
              </w:rPr>
            </w:pPr>
            <w:r>
              <w:rPr>
                <w:rFonts w:hint="eastAsia"/>
                <w:b/>
                <w:szCs w:val="21"/>
              </w:rPr>
              <w:t>发布日期</w:t>
            </w:r>
          </w:p>
        </w:tc>
        <w:tc>
          <w:tcPr>
            <w:tcW w:w="2126" w:type="dxa"/>
            <w:vAlign w:val="center"/>
          </w:tcPr>
          <w:p>
            <w:pPr>
              <w:jc w:val="center"/>
              <w:rPr>
                <w:b/>
                <w:szCs w:val="21"/>
              </w:rPr>
            </w:pPr>
            <w:r>
              <w:rPr>
                <w:rFonts w:hint="eastAsia"/>
                <w:b/>
                <w:szCs w:val="21"/>
              </w:rPr>
              <w:t>登记号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51" w:type="dxa"/>
            <w:vAlign w:val="center"/>
          </w:tcPr>
          <w:p>
            <w:pPr>
              <w:jc w:val="left"/>
            </w:pPr>
            <w:r>
              <w:rPr>
                <w:rFonts w:hint="eastAsia"/>
              </w:rPr>
              <w:t>胶州市人民政府</w:t>
            </w:r>
          </w:p>
        </w:tc>
        <w:tc>
          <w:tcPr>
            <w:tcW w:w="5670" w:type="dxa"/>
            <w:vAlign w:val="center"/>
          </w:tcPr>
          <w:p>
            <w:pPr>
              <w:jc w:val="left"/>
            </w:pPr>
            <w:r>
              <w:rPr>
                <w:rFonts w:hint="eastAsia"/>
              </w:rPr>
              <w:t>胶州市人民政府关于延长《胶州市人民政府关于印发胶州市大中型水库移民后期扶持人口动态变化管理办法的通知》有效期的通知</w:t>
            </w:r>
          </w:p>
        </w:tc>
        <w:tc>
          <w:tcPr>
            <w:tcW w:w="2461" w:type="dxa"/>
            <w:vAlign w:val="center"/>
          </w:tcPr>
          <w:p>
            <w:pPr>
              <w:jc w:val="left"/>
            </w:pPr>
            <w:r>
              <w:rPr>
                <w:rFonts w:hint="eastAsia"/>
              </w:rPr>
              <w:t>胶政发〔2023〕24号</w:t>
            </w:r>
          </w:p>
        </w:tc>
        <w:tc>
          <w:tcPr>
            <w:tcW w:w="1792" w:type="dxa"/>
            <w:vAlign w:val="center"/>
          </w:tcPr>
          <w:p>
            <w:pPr>
              <w:jc w:val="left"/>
            </w:pPr>
            <w:r>
              <w:rPr>
                <w:rFonts w:hint="eastAsia"/>
              </w:rPr>
              <w:t>2023年2月27日</w:t>
            </w:r>
          </w:p>
        </w:tc>
        <w:tc>
          <w:tcPr>
            <w:tcW w:w="2126" w:type="dxa"/>
            <w:vAlign w:val="center"/>
          </w:tcPr>
          <w:p>
            <w:pPr>
              <w:jc w:val="left"/>
            </w:pPr>
            <w:r>
              <w:rPr>
                <w:rFonts w:hint="eastAsia"/>
              </w:rPr>
              <w:t>JZDR-2023-0010001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51" w:type="dxa"/>
            <w:vAlign w:val="center"/>
          </w:tcPr>
          <w:p>
            <w:pPr>
              <w:jc w:val="left"/>
            </w:pPr>
            <w:r>
              <w:rPr>
                <w:rFonts w:hint="eastAsia"/>
              </w:rPr>
              <w:t>青岛市城阳区人民政府</w:t>
            </w:r>
          </w:p>
        </w:tc>
        <w:tc>
          <w:tcPr>
            <w:tcW w:w="5670" w:type="dxa"/>
            <w:vAlign w:val="center"/>
          </w:tcPr>
          <w:p>
            <w:pPr>
              <w:jc w:val="left"/>
            </w:pPr>
            <w:r>
              <w:rPr>
                <w:rFonts w:hint="eastAsia"/>
              </w:rPr>
              <w:t>青岛市城阳区人民政府关于延长《城阳区区长质量奖管理办法》有效期的通知</w:t>
            </w:r>
          </w:p>
        </w:tc>
        <w:tc>
          <w:tcPr>
            <w:tcW w:w="2461" w:type="dxa"/>
            <w:vAlign w:val="center"/>
          </w:tcPr>
          <w:p>
            <w:pPr>
              <w:jc w:val="left"/>
            </w:pPr>
            <w:r>
              <w:rPr>
                <w:rFonts w:hint="eastAsia"/>
              </w:rPr>
              <w:t>青城政发〔2023〕8号</w:t>
            </w:r>
          </w:p>
        </w:tc>
        <w:tc>
          <w:tcPr>
            <w:tcW w:w="1792" w:type="dxa"/>
            <w:vAlign w:val="center"/>
          </w:tcPr>
          <w:p>
            <w:pPr>
              <w:jc w:val="left"/>
            </w:pPr>
            <w:r>
              <w:rPr>
                <w:rFonts w:hint="eastAsia"/>
              </w:rPr>
              <w:t>2023年5月29日</w:t>
            </w:r>
          </w:p>
        </w:tc>
        <w:tc>
          <w:tcPr>
            <w:tcW w:w="2126" w:type="dxa"/>
            <w:vAlign w:val="center"/>
          </w:tcPr>
          <w:p>
            <w:pPr>
              <w:jc w:val="left"/>
            </w:pPr>
            <w:r>
              <w:rPr>
                <w:rFonts w:hint="eastAsia"/>
              </w:rPr>
              <w:t>CYDR-2023-0010001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51" w:type="dxa"/>
            <w:vAlign w:val="center"/>
          </w:tcPr>
          <w:p>
            <w:pPr>
              <w:jc w:val="left"/>
            </w:pPr>
            <w:r>
              <w:rPr>
                <w:rFonts w:hint="eastAsia"/>
              </w:rPr>
              <w:t>即墨区人民政府办公室</w:t>
            </w:r>
          </w:p>
        </w:tc>
        <w:tc>
          <w:tcPr>
            <w:tcW w:w="5670" w:type="dxa"/>
            <w:vAlign w:val="center"/>
          </w:tcPr>
          <w:p>
            <w:pPr>
              <w:jc w:val="left"/>
            </w:pPr>
            <w:r>
              <w:rPr>
                <w:rFonts w:hint="eastAsia"/>
              </w:rPr>
              <w:t>青岛市即墨区人民政府办公室关于印发即墨区应急救援队伍建设管理办法的通知</w:t>
            </w:r>
          </w:p>
        </w:tc>
        <w:tc>
          <w:tcPr>
            <w:tcW w:w="2461" w:type="dxa"/>
            <w:vAlign w:val="center"/>
          </w:tcPr>
          <w:p>
            <w:pPr>
              <w:jc w:val="left"/>
            </w:pPr>
            <w:r>
              <w:rPr>
                <w:rFonts w:hint="eastAsia"/>
              </w:rPr>
              <w:t>即政办发〔2023〕15号</w:t>
            </w:r>
          </w:p>
        </w:tc>
        <w:tc>
          <w:tcPr>
            <w:tcW w:w="1792" w:type="dxa"/>
            <w:vAlign w:val="center"/>
          </w:tcPr>
          <w:p>
            <w:pPr>
              <w:jc w:val="left"/>
            </w:pPr>
            <w:r>
              <w:rPr>
                <w:rFonts w:hint="eastAsia"/>
              </w:rPr>
              <w:t>2023年5月29日</w:t>
            </w:r>
          </w:p>
        </w:tc>
        <w:tc>
          <w:tcPr>
            <w:tcW w:w="2126" w:type="dxa"/>
            <w:vAlign w:val="center"/>
          </w:tcPr>
          <w:p>
            <w:pPr>
              <w:jc w:val="left"/>
            </w:pPr>
            <w:r>
              <w:rPr>
                <w:rFonts w:hint="eastAsia"/>
              </w:rPr>
              <w:t>JMDR-2023-0020001</w:t>
            </w:r>
          </w:p>
        </w:tc>
      </w:tr>
    </w:tbl>
    <w:p>
      <w:pPr>
        <w:jc w:val="center"/>
        <w:rPr>
          <w:color w:val="FF0000"/>
          <w:szCs w:val="32"/>
        </w:rPr>
      </w:pPr>
    </w:p>
    <w:p/>
    <w:sectPr>
      <w:footerReference r:id="rId4" w:type="default"/>
      <w:footerReference r:id="rId5" w:type="even"/>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文星标宋">
    <w:panose1 w:val="02010604000101010101"/>
    <w:charset w:val="86"/>
    <w:family w:val="modern"/>
    <w:pitch w:val="default"/>
    <w:sig w:usb0="00000001" w:usb1="080E0000" w:usb2="00000000" w:usb3="00000000" w:csb0="00040001" w:csb1="00000000"/>
  </w:font>
  <w:font w:name="方正小标宋_GBK">
    <w:panose1 w:val="03000502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rFonts w:hint="eastAsia" w:ascii="宋体" w:hAnsi="宋体"/>
        <w:sz w:val="28"/>
        <w:szCs w:val="2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c2NTFmZTBlYWNhMGJmNDExZTJiYjFiZDEzMWQwOWMifQ=="/>
  </w:docVars>
  <w:rsids>
    <w:rsidRoot w:val="00376148"/>
    <w:rsid w:val="000A1321"/>
    <w:rsid w:val="000C628D"/>
    <w:rsid w:val="001012E2"/>
    <w:rsid w:val="00126683"/>
    <w:rsid w:val="001304AC"/>
    <w:rsid w:val="00133B90"/>
    <w:rsid w:val="001C62EF"/>
    <w:rsid w:val="001C6331"/>
    <w:rsid w:val="00234E21"/>
    <w:rsid w:val="00264E7D"/>
    <w:rsid w:val="00267E8A"/>
    <w:rsid w:val="002846A2"/>
    <w:rsid w:val="002C4D34"/>
    <w:rsid w:val="002F513B"/>
    <w:rsid w:val="003421E4"/>
    <w:rsid w:val="003625BF"/>
    <w:rsid w:val="00376148"/>
    <w:rsid w:val="00394494"/>
    <w:rsid w:val="003B7573"/>
    <w:rsid w:val="003D5CF1"/>
    <w:rsid w:val="004140CF"/>
    <w:rsid w:val="00441775"/>
    <w:rsid w:val="004853BE"/>
    <w:rsid w:val="00487AA3"/>
    <w:rsid w:val="004E1DD1"/>
    <w:rsid w:val="004F334D"/>
    <w:rsid w:val="005A38C4"/>
    <w:rsid w:val="005E5EAC"/>
    <w:rsid w:val="00633F22"/>
    <w:rsid w:val="0064213C"/>
    <w:rsid w:val="006D1120"/>
    <w:rsid w:val="006D253F"/>
    <w:rsid w:val="007A204A"/>
    <w:rsid w:val="007C547F"/>
    <w:rsid w:val="0089320D"/>
    <w:rsid w:val="00893CA1"/>
    <w:rsid w:val="008A6BAB"/>
    <w:rsid w:val="008C7EE7"/>
    <w:rsid w:val="009160F1"/>
    <w:rsid w:val="009C650D"/>
    <w:rsid w:val="009E3C65"/>
    <w:rsid w:val="00A56B88"/>
    <w:rsid w:val="00AA22FF"/>
    <w:rsid w:val="00AD1C60"/>
    <w:rsid w:val="00AE1BBB"/>
    <w:rsid w:val="00B214E1"/>
    <w:rsid w:val="00B24A4C"/>
    <w:rsid w:val="00B76C7E"/>
    <w:rsid w:val="00BA5E5F"/>
    <w:rsid w:val="00BB111B"/>
    <w:rsid w:val="00C17655"/>
    <w:rsid w:val="00C21309"/>
    <w:rsid w:val="00CF5A6B"/>
    <w:rsid w:val="00D1601D"/>
    <w:rsid w:val="00D418CF"/>
    <w:rsid w:val="00D47B81"/>
    <w:rsid w:val="00D56B94"/>
    <w:rsid w:val="00D615FF"/>
    <w:rsid w:val="00DA5D2A"/>
    <w:rsid w:val="00F3598C"/>
    <w:rsid w:val="00F92ED6"/>
    <w:rsid w:val="00F94711"/>
    <w:rsid w:val="00FD33E3"/>
    <w:rsid w:val="0B2B77D7"/>
    <w:rsid w:val="13781A27"/>
    <w:rsid w:val="1B6CAC94"/>
    <w:rsid w:val="26F86F15"/>
    <w:rsid w:val="27FD4A19"/>
    <w:rsid w:val="29057462"/>
    <w:rsid w:val="2BAE6D27"/>
    <w:rsid w:val="30843362"/>
    <w:rsid w:val="37B63C1C"/>
    <w:rsid w:val="37CD1A92"/>
    <w:rsid w:val="3CCC056A"/>
    <w:rsid w:val="3EC82FB3"/>
    <w:rsid w:val="3ECFE63A"/>
    <w:rsid w:val="407A4866"/>
    <w:rsid w:val="4F7D3946"/>
    <w:rsid w:val="5E231B5D"/>
    <w:rsid w:val="65DD54D4"/>
    <w:rsid w:val="6F6D8F40"/>
    <w:rsid w:val="78822F09"/>
    <w:rsid w:val="CFF73053"/>
    <w:rsid w:val="F65F6CC6"/>
    <w:rsid w:val="FEBFDD8A"/>
    <w:rsid w:val="FFFFE9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1"/>
    <w:semiHidden/>
    <w:unhideWhenUsed/>
    <w:qFormat/>
    <w:uiPriority w:val="99"/>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9">
    <w:name w:val="页脚 Char"/>
    <w:basedOn w:val="6"/>
    <w:link w:val="4"/>
    <w:qFormat/>
    <w:uiPriority w:val="99"/>
    <w:rPr>
      <w:rFonts w:ascii="Times New Roman" w:hAnsi="Times New Roman" w:eastAsia="宋体" w:cs="Times New Roman"/>
      <w:sz w:val="18"/>
      <w:szCs w:val="18"/>
    </w:rPr>
  </w:style>
  <w:style w:type="paragraph" w:customStyle="1" w:styleId="10">
    <w:name w:val="p15"/>
    <w:basedOn w:val="1"/>
    <w:qFormat/>
    <w:uiPriority w:val="0"/>
    <w:pPr>
      <w:widowControl/>
    </w:pPr>
    <w:rPr>
      <w:kern w:val="0"/>
      <w:sz w:val="28"/>
      <w:szCs w:val="28"/>
    </w:rPr>
  </w:style>
  <w:style w:type="character" w:customStyle="1" w:styleId="11">
    <w:name w:val="批注框文本 Char"/>
    <w:basedOn w:val="6"/>
    <w:link w:val="3"/>
    <w:semiHidden/>
    <w:qFormat/>
    <w:uiPriority w:val="99"/>
    <w:rPr>
      <w:kern w:val="2"/>
      <w:sz w:val="18"/>
      <w:szCs w:val="18"/>
    </w:rPr>
  </w:style>
  <w:style w:type="character" w:customStyle="1" w:styleId="12">
    <w:name w:val="页眉 Char"/>
    <w:basedOn w:val="6"/>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348</Words>
  <Characters>1987</Characters>
  <Lines>16</Lines>
  <Paragraphs>4</Paragraphs>
  <TotalTime>50</TotalTime>
  <ScaleCrop>false</ScaleCrop>
  <LinksUpToDate>false</LinksUpToDate>
  <CharactersWithSpaces>2331</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2023-07-04T21:39:00Z</dcterms:created>
  <dc:creator>窦 治民</dc:creator>
  <cp:lastModifiedBy>user</cp:lastModifiedBy>
  <cp:lastPrinted>2023-07-07T01:20:00Z</cp:lastPrinted>
  <dcterms:modified xsi:type="dcterms:W3CDTF">2024-01-08T14:48:48Z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y fmtid="{D5CDD505-2E9C-101B-9397-08002B2CF9AE}" pid="3" name="ICV">
    <vt:lpwstr>07FFF31370244A879970A0FC9E97EB83_12</vt:lpwstr>
  </property>
</Properties>
</file>