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bookmarkStart w:id="0" w:name="_GoBack"/>
      <w:bookmarkEnd w:id="0"/>
      <w:r>
        <w:rPr>
          <w:rFonts w:ascii="Times New Roman" w:hAnsi="Times New Roman" w:eastAsia="方正小标宋_GBK" w:cs="Times New Roman"/>
          <w:sz w:val="44"/>
          <w:szCs w:val="44"/>
        </w:rPr>
        <w:t>青岛市加快构建优质高效服务业新体系</w:t>
      </w:r>
    </w:p>
    <w:p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三年行动</w:t>
      </w:r>
      <w:r>
        <w:rPr>
          <w:rFonts w:hint="eastAsia" w:ascii="Times New Roman" w:hAnsi="Times New Roman" w:eastAsia="方正小标宋_GBK" w:cs="Times New Roman"/>
          <w:sz w:val="44"/>
          <w:szCs w:val="44"/>
        </w:rPr>
        <w:t>实施方案</w:t>
      </w:r>
      <w:r>
        <w:rPr>
          <w:rFonts w:ascii="Times New Roman" w:hAnsi="Times New Roman" w:eastAsia="方正小标宋_GBK" w:cs="Times New Roman"/>
          <w:sz w:val="44"/>
          <w:szCs w:val="44"/>
        </w:rPr>
        <w:t>（2023-2025年）</w:t>
      </w:r>
    </w:p>
    <w:p>
      <w:pPr>
        <w:spacing w:line="560" w:lineRule="exact"/>
        <w:jc w:val="center"/>
        <w:rPr>
          <w:rFonts w:ascii="楷体_GB2312" w:hAnsi="Times New Roman" w:eastAsia="楷体_GB2312" w:cs="Times New Roman"/>
          <w:sz w:val="32"/>
          <w:szCs w:val="32"/>
        </w:rPr>
      </w:pPr>
      <w:r>
        <w:rPr>
          <w:rFonts w:hint="eastAsia" w:ascii="楷体_GB2312" w:hAnsi="Times New Roman" w:eastAsia="楷体_GB2312" w:cs="Times New Roman"/>
          <w:sz w:val="32"/>
          <w:szCs w:val="32"/>
        </w:rPr>
        <w:t>（征求意见稿）</w:t>
      </w:r>
    </w:p>
    <w:p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 </w:t>
      </w:r>
      <w:r>
        <w:rPr>
          <w:rFonts w:ascii="Times New Roman" w:hAnsi="Times New Roman" w:eastAsia="仿宋_GB2312" w:cs="Times New Roman"/>
          <w:sz w:val="32"/>
          <w:szCs w:val="32"/>
        </w:rPr>
        <w:t>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深入</w:t>
      </w:r>
      <w:r>
        <w:rPr>
          <w:rFonts w:ascii="Times New Roman" w:hAnsi="Times New Roman" w:eastAsia="仿宋_GB2312" w:cs="Times New Roman"/>
          <w:sz w:val="32"/>
          <w:szCs w:val="32"/>
        </w:rPr>
        <w:t>贯彻党的二十大精神，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推动现代服务业同先进制造业、现代农业深度融合，</w:t>
      </w:r>
      <w:r>
        <w:rPr>
          <w:rFonts w:ascii="Times New Roman" w:hAnsi="Times New Roman" w:eastAsia="仿宋_GB2312" w:cs="Times New Roman"/>
          <w:sz w:val="32"/>
          <w:szCs w:val="32"/>
        </w:rPr>
        <w:t>构建优质高效的服务业新体系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，助力发展实体经济，打造现代产业先行城市，</w:t>
      </w:r>
      <w:r>
        <w:rPr>
          <w:rFonts w:ascii="Times New Roman" w:hAnsi="Times New Roman" w:eastAsia="仿宋_GB2312" w:cs="Times New Roman"/>
          <w:sz w:val="32"/>
          <w:szCs w:val="32"/>
        </w:rPr>
        <w:t>结合我市实际，制定本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实施方案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>
      <w:pPr>
        <w:spacing w:line="56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 xml:space="preserve">    </w:t>
      </w:r>
      <w:r>
        <w:rPr>
          <w:rFonts w:ascii="Times New Roman" w:hAnsi="Times New Roman" w:eastAsia="黑体" w:cs="Times New Roman"/>
          <w:sz w:val="32"/>
          <w:szCs w:val="32"/>
        </w:rPr>
        <w:t>一、总体要求</w:t>
      </w:r>
    </w:p>
    <w:p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 </w:t>
      </w:r>
      <w:r>
        <w:rPr>
          <w:rFonts w:ascii="Times New Roman" w:hAnsi="Times New Roman" w:eastAsia="仿宋_GB2312" w:cs="Times New Roman"/>
          <w:sz w:val="32"/>
          <w:szCs w:val="32"/>
        </w:rPr>
        <w:t>坚持以习近平新时代中国特色社会主义思想为指导，全面贯彻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党的二十大精神，完整、准确、全面贯彻</w:t>
      </w:r>
      <w:r>
        <w:rPr>
          <w:rFonts w:ascii="Times New Roman" w:hAnsi="Times New Roman" w:eastAsia="仿宋_GB2312" w:cs="Times New Roman"/>
          <w:sz w:val="32"/>
          <w:szCs w:val="32"/>
        </w:rPr>
        <w:t>新发展理念，服务和融入新发展格局，围绕建设国家级服务经济中心，坚持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产业转型和消费升级并重、创新驱动和融合</w:t>
      </w:r>
      <w:r>
        <w:rPr>
          <w:rFonts w:ascii="Times New Roman" w:hAnsi="Times New Roman" w:eastAsia="仿宋_GB2312" w:cs="Times New Roman"/>
          <w:sz w:val="32"/>
          <w:szCs w:val="32"/>
        </w:rPr>
        <w:t>发展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并举</w:t>
      </w:r>
      <w:r>
        <w:rPr>
          <w:rFonts w:ascii="Times New Roman" w:hAnsi="Times New Roman" w:eastAsia="仿宋_GB2312" w:cs="Times New Roman"/>
          <w:sz w:val="32"/>
          <w:szCs w:val="32"/>
        </w:rPr>
        <w:t>，做优存量和做大增量并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行</w:t>
      </w:r>
      <w:r>
        <w:rPr>
          <w:rFonts w:ascii="Times New Roman" w:hAnsi="Times New Roman" w:eastAsia="仿宋_GB2312" w:cs="Times New Roman"/>
          <w:sz w:val="32"/>
          <w:szCs w:val="32"/>
        </w:rPr>
        <w:t>、突破发展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现代金融、现代物流、现代商贸等十</w:t>
      </w:r>
      <w:r>
        <w:rPr>
          <w:rFonts w:ascii="Times New Roman" w:hAnsi="Times New Roman" w:eastAsia="仿宋_GB2312" w:cs="Times New Roman"/>
          <w:sz w:val="32"/>
          <w:szCs w:val="32"/>
        </w:rPr>
        <w:t>大现代服务业，实施创新引领、数智赋能、产业融合、企业培育、消费提质、扩大开放六大行动，加快生产性服务业向专业化和价值链高端延伸，加快生活性服务业向高品质和多样化升级，发挥消费转型升级对服务业拉动作用，持续扩大内需，提升城市核心服务功能和辐射带动作用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，加快构建优质高效的服务业新体系，</w:t>
      </w:r>
      <w:r>
        <w:rPr>
          <w:rFonts w:ascii="Times New Roman" w:hAnsi="Times New Roman" w:eastAsia="仿宋_GB2312" w:cs="Times New Roman"/>
          <w:sz w:val="32"/>
          <w:szCs w:val="32"/>
        </w:rPr>
        <w:t>为青岛建设新时代社会主义现代化国际大都市提供重要支撑。</w:t>
      </w:r>
    </w:p>
    <w:p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 xml:space="preserve">    </w:t>
      </w:r>
      <w:r>
        <w:rPr>
          <w:rFonts w:ascii="Times New Roman" w:hAnsi="Times New Roman" w:eastAsia="黑体" w:cs="Times New Roman"/>
          <w:sz w:val="32"/>
          <w:szCs w:val="32"/>
        </w:rPr>
        <w:t>二、发展目标</w:t>
      </w:r>
    </w:p>
    <w:p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 </w:t>
      </w:r>
      <w:r>
        <w:rPr>
          <w:rFonts w:ascii="Times New Roman" w:hAnsi="Times New Roman" w:eastAsia="仿宋_GB2312" w:cs="Times New Roman"/>
          <w:spacing w:val="6"/>
          <w:sz w:val="32"/>
          <w:szCs w:val="32"/>
        </w:rPr>
        <w:t>到2025年，全市服务业增加值达到</w:t>
      </w:r>
      <w:r>
        <w:rPr>
          <w:rFonts w:hint="eastAsia" w:ascii="Times New Roman" w:hAnsi="Times New Roman" w:eastAsia="仿宋_GB2312" w:cs="Times New Roman"/>
          <w:spacing w:val="6"/>
          <w:sz w:val="32"/>
          <w:szCs w:val="32"/>
        </w:rPr>
        <w:t>□□</w:t>
      </w:r>
      <w:r>
        <w:rPr>
          <w:rFonts w:ascii="Times New Roman" w:hAnsi="Times New Roman" w:eastAsia="仿宋_GB2312" w:cs="Times New Roman"/>
          <w:spacing w:val="6"/>
          <w:sz w:val="32"/>
          <w:szCs w:val="32"/>
        </w:rPr>
        <w:t>万亿元，占生产总值比重在</w:t>
      </w:r>
      <w:r>
        <w:rPr>
          <w:rFonts w:hint="eastAsia" w:ascii="Times New Roman" w:hAnsi="Times New Roman" w:eastAsia="仿宋_GB2312" w:cs="Times New Roman"/>
          <w:spacing w:val="6"/>
          <w:sz w:val="32"/>
          <w:szCs w:val="32"/>
        </w:rPr>
        <w:t>□□</w:t>
      </w:r>
      <w:r>
        <w:rPr>
          <w:rFonts w:ascii="Times New Roman" w:hAnsi="Times New Roman" w:eastAsia="仿宋_GB2312" w:cs="Times New Roman"/>
          <w:spacing w:val="6"/>
          <w:sz w:val="32"/>
          <w:szCs w:val="32"/>
        </w:rPr>
        <w:t>%左右，服务业从业人员占全社会从业人员比重达到</w:t>
      </w:r>
      <w:r>
        <w:rPr>
          <w:rFonts w:hint="eastAsia" w:ascii="Times New Roman" w:hAnsi="Times New Roman" w:eastAsia="仿宋_GB2312" w:cs="Times New Roman"/>
          <w:spacing w:val="6"/>
          <w:sz w:val="32"/>
          <w:szCs w:val="32"/>
        </w:rPr>
        <w:t>□□</w:t>
      </w:r>
      <w:r>
        <w:rPr>
          <w:rFonts w:ascii="Times New Roman" w:hAnsi="Times New Roman" w:eastAsia="仿宋_GB2312" w:cs="Times New Roman"/>
          <w:spacing w:val="6"/>
          <w:sz w:val="32"/>
          <w:szCs w:val="32"/>
        </w:rPr>
        <w:t>%左右；生产性服务业效率和专业化水平显著提高，占服务业增加值比重达到</w:t>
      </w:r>
      <w:r>
        <w:rPr>
          <w:rFonts w:hint="eastAsia" w:ascii="Times New Roman" w:hAnsi="Times New Roman" w:eastAsia="仿宋_GB2312" w:cs="Times New Roman"/>
          <w:spacing w:val="6"/>
          <w:sz w:val="32"/>
          <w:szCs w:val="32"/>
        </w:rPr>
        <w:t>□□</w:t>
      </w:r>
      <w:r>
        <w:rPr>
          <w:rFonts w:ascii="Times New Roman" w:hAnsi="Times New Roman" w:eastAsia="仿宋_GB2312" w:cs="Times New Roman"/>
          <w:spacing w:val="6"/>
          <w:sz w:val="32"/>
          <w:szCs w:val="32"/>
        </w:rPr>
        <w:t>%左右；现代服务业创新能力及贡献显著增强，服务业劳动生产率达</w:t>
      </w:r>
      <w:r>
        <w:rPr>
          <w:rFonts w:hint="eastAsia" w:ascii="Times New Roman" w:hAnsi="Times New Roman" w:eastAsia="仿宋_GB2312" w:cs="Times New Roman"/>
          <w:spacing w:val="6"/>
          <w:sz w:val="32"/>
          <w:szCs w:val="32"/>
        </w:rPr>
        <w:t>□□</w:t>
      </w:r>
      <w:r>
        <w:rPr>
          <w:rFonts w:ascii="Times New Roman" w:hAnsi="Times New Roman" w:eastAsia="仿宋_GB2312" w:cs="Times New Roman"/>
          <w:spacing w:val="6"/>
          <w:sz w:val="32"/>
          <w:szCs w:val="32"/>
        </w:rPr>
        <w:t>万元/人，新培育省级以上服务业创新中心</w:t>
      </w:r>
      <w:r>
        <w:rPr>
          <w:rFonts w:hint="eastAsia" w:ascii="Times New Roman" w:hAnsi="Times New Roman" w:eastAsia="仿宋_GB2312" w:cs="Times New Roman"/>
          <w:spacing w:val="6"/>
          <w:sz w:val="32"/>
          <w:szCs w:val="32"/>
        </w:rPr>
        <w:t>□□</w:t>
      </w:r>
      <w:r>
        <w:rPr>
          <w:rFonts w:ascii="Times New Roman" w:hAnsi="Times New Roman" w:eastAsia="仿宋_GB2312" w:cs="Times New Roman"/>
          <w:spacing w:val="6"/>
          <w:sz w:val="32"/>
          <w:szCs w:val="32"/>
        </w:rPr>
        <w:t>个以上；服务业集聚发展释放新活力，市级及以上服务业集聚区达到</w:t>
      </w:r>
      <w:r>
        <w:rPr>
          <w:rFonts w:hint="eastAsia" w:ascii="Times New Roman" w:hAnsi="Times New Roman" w:eastAsia="仿宋_GB2312" w:cs="Times New Roman"/>
          <w:spacing w:val="6"/>
          <w:sz w:val="32"/>
          <w:szCs w:val="32"/>
        </w:rPr>
        <w:t>□□</w:t>
      </w:r>
      <w:r>
        <w:rPr>
          <w:rFonts w:ascii="Times New Roman" w:hAnsi="Times New Roman" w:eastAsia="仿宋_GB2312" w:cs="Times New Roman"/>
          <w:spacing w:val="6"/>
          <w:sz w:val="32"/>
          <w:szCs w:val="32"/>
        </w:rPr>
        <w:t>家以上，税收亿元以上楼宇</w:t>
      </w:r>
      <w:r>
        <w:rPr>
          <w:rFonts w:hint="eastAsia" w:ascii="Times New Roman" w:hAnsi="Times New Roman" w:eastAsia="仿宋_GB2312" w:cs="Times New Roman"/>
          <w:spacing w:val="6"/>
          <w:sz w:val="32"/>
          <w:szCs w:val="32"/>
        </w:rPr>
        <w:t>□□</w:t>
      </w:r>
      <w:r>
        <w:rPr>
          <w:rFonts w:ascii="Times New Roman" w:hAnsi="Times New Roman" w:eastAsia="仿宋_GB2312" w:cs="Times New Roman"/>
          <w:spacing w:val="6"/>
          <w:sz w:val="32"/>
          <w:szCs w:val="32"/>
        </w:rPr>
        <w:t>座以上；打造国际消费中心城市，初步建成国家现代服务经济中心。</w:t>
      </w:r>
    </w:p>
    <w:p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 xml:space="preserve">    </w:t>
      </w:r>
      <w:r>
        <w:rPr>
          <w:rFonts w:ascii="Times New Roman" w:hAnsi="Times New Roman" w:eastAsia="黑体" w:cs="Times New Roman"/>
          <w:sz w:val="32"/>
          <w:szCs w:val="32"/>
        </w:rPr>
        <w:t>三、重点</w:t>
      </w:r>
      <w:r>
        <w:rPr>
          <w:rFonts w:hint="eastAsia" w:ascii="Times New Roman" w:hAnsi="Times New Roman" w:eastAsia="黑体" w:cs="Times New Roman"/>
          <w:sz w:val="32"/>
          <w:szCs w:val="32"/>
        </w:rPr>
        <w:t>产业</w:t>
      </w:r>
    </w:p>
    <w:p>
      <w:pPr>
        <w:pStyle w:val="16"/>
        <w:widowControl/>
        <w:autoSpaceDE w:val="0"/>
        <w:spacing w:before="0" w:beforeAutospacing="0" w:after="0" w:afterAutospacing="0" w:line="560" w:lineRule="exact"/>
        <w:ind w:firstLine="642" w:firstLineChars="200"/>
        <w:jc w:val="both"/>
        <w:rPr>
          <w:rFonts w:eastAsia="楷体_GB2312"/>
          <w:kern w:val="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1.</w:t>
      </w:r>
      <w:r>
        <w:rPr>
          <w:rFonts w:hint="eastAsia" w:eastAsia="仿宋_GB2312"/>
          <w:b/>
          <w:bCs/>
          <w:sz w:val="32"/>
          <w:szCs w:val="32"/>
        </w:rPr>
        <w:t xml:space="preserve"> </w:t>
      </w:r>
      <w:r>
        <w:rPr>
          <w:rFonts w:eastAsia="仿宋_GB2312"/>
          <w:b/>
          <w:bCs/>
          <w:sz w:val="32"/>
          <w:szCs w:val="32"/>
        </w:rPr>
        <w:t>现代金融</w:t>
      </w:r>
      <w:r>
        <w:rPr>
          <w:rFonts w:hint="eastAsia" w:eastAsia="仿宋_GB2312"/>
          <w:b/>
          <w:bCs/>
          <w:sz w:val="32"/>
          <w:szCs w:val="32"/>
        </w:rPr>
        <w:t>。</w:t>
      </w:r>
      <w:r>
        <w:rPr>
          <w:rFonts w:hint="eastAsia" w:eastAsia="仿宋_GB2312"/>
          <w:sz w:val="32"/>
          <w:szCs w:val="32"/>
        </w:rPr>
        <w:t>重点发展财富管理、创投风投、金融科技，聚力打造国际财富管理中心、全球创投风投中心和未来金融科技中心。</w:t>
      </w:r>
      <w:r>
        <w:rPr>
          <w:rFonts w:eastAsia="仿宋_GB2312"/>
          <w:sz w:val="32"/>
          <w:szCs w:val="32"/>
        </w:rPr>
        <w:t>到2025年，全市金融业增加值达到1100亿元, 金融机构总数达到300家左右, 私募基金管理规模</w:t>
      </w:r>
      <w:r>
        <w:rPr>
          <w:rFonts w:hint="eastAsia" w:eastAsia="仿宋_GB2312"/>
          <w:sz w:val="32"/>
          <w:szCs w:val="32"/>
        </w:rPr>
        <w:t>超过2000</w:t>
      </w:r>
      <w:r>
        <w:rPr>
          <w:rFonts w:eastAsia="仿宋_GB2312"/>
          <w:sz w:val="32"/>
          <w:szCs w:val="32"/>
        </w:rPr>
        <w:t>亿元，境内外上市公司数量达到100家。</w:t>
      </w:r>
      <w:r>
        <w:rPr>
          <w:rFonts w:hint="eastAsia" w:eastAsia="仿宋_GB2312"/>
          <w:sz w:val="32"/>
          <w:szCs w:val="32"/>
        </w:rPr>
        <w:t>（</w:t>
      </w:r>
      <w:r>
        <w:rPr>
          <w:rFonts w:hint="eastAsia" w:ascii="楷体_GB2312" w:eastAsia="楷体_GB2312"/>
          <w:spacing w:val="6"/>
          <w:sz w:val="32"/>
          <w:szCs w:val="32"/>
        </w:rPr>
        <w:t>责任单位：</w:t>
      </w:r>
      <w:r>
        <w:rPr>
          <w:rFonts w:hint="eastAsia" w:eastAsia="楷体_GB2312"/>
          <w:kern w:val="2"/>
          <w:sz w:val="32"/>
          <w:szCs w:val="32"/>
        </w:rPr>
        <w:t>市地方金融监管局、市发展改革委按职责分工负责</w:t>
      </w:r>
      <w:r>
        <w:rPr>
          <w:rFonts w:hint="eastAsia" w:eastAsia="仿宋_GB2312"/>
          <w:sz w:val="32"/>
          <w:szCs w:val="32"/>
        </w:rPr>
        <w:t>）</w:t>
      </w:r>
    </w:p>
    <w:p>
      <w:pPr>
        <w:spacing w:line="560" w:lineRule="exact"/>
        <w:ind w:firstLine="642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2.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现代物流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重点发展航运物流、航空物流、冷链物流、寄递物流</w:t>
      </w:r>
      <w:r>
        <w:rPr>
          <w:rFonts w:ascii="Times New Roman" w:hAnsi="Times New Roman" w:eastAsia="仿宋_GB2312" w:cs="Times New Roman"/>
          <w:sz w:val="32"/>
          <w:szCs w:val="32"/>
        </w:rPr>
        <w:t>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领域</w:t>
      </w:r>
      <w:r>
        <w:rPr>
          <w:rFonts w:ascii="Times New Roman" w:hAnsi="Times New Roman" w:eastAsia="仿宋_GB2312" w:cs="Times New Roman"/>
          <w:sz w:val="32"/>
          <w:szCs w:val="32"/>
        </w:rPr>
        <w:t>，建设综合型国家物流枢纽城市和全国主要的国际物流中心城市。到2025年，全市现代物流产业增加值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突破1</w:t>
      </w:r>
      <w:r>
        <w:rPr>
          <w:rFonts w:ascii="Times New Roman" w:hAnsi="Times New Roman" w:eastAsia="仿宋_GB2312" w:cs="Times New Roman"/>
          <w:sz w:val="32"/>
          <w:szCs w:val="32"/>
        </w:rPr>
        <w:t>600亿元，</w:t>
      </w:r>
      <w:r>
        <w:rPr>
          <w:rFonts w:hint="eastAsia" w:ascii="Times New Roman" w:hAnsi="Times New Roman" w:eastAsia="仿宋_GB2312"/>
          <w:sz w:val="32"/>
          <w:szCs w:val="32"/>
        </w:rPr>
        <w:t>国家A级物流企业达到120家，集装箱海铁联运量达到220万标准箱，中欧班列（齐鲁号）开行规模达到800列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  <w:r>
        <w:rPr>
          <w:rFonts w:hint="eastAsia" w:eastAsia="仿宋_GB2312"/>
          <w:sz w:val="32"/>
          <w:szCs w:val="32"/>
        </w:rPr>
        <w:t>（</w:t>
      </w:r>
      <w:r>
        <w:rPr>
          <w:rFonts w:hint="eastAsia" w:ascii="楷体_GB2312" w:hAnsi="Times New Roman" w:eastAsia="楷体_GB2312" w:cs="Times New Roman"/>
          <w:spacing w:val="6"/>
          <w:sz w:val="32"/>
          <w:szCs w:val="32"/>
        </w:rPr>
        <w:t>责任单位：</w:t>
      </w:r>
      <w:r>
        <w:rPr>
          <w:rFonts w:hint="eastAsia" w:eastAsia="楷体_GB2312"/>
          <w:sz w:val="32"/>
          <w:szCs w:val="32"/>
        </w:rPr>
        <w:t>市交通运输局、市发展改革委按职责分工负责</w:t>
      </w:r>
      <w:r>
        <w:rPr>
          <w:rFonts w:hint="eastAsia" w:eastAsia="仿宋_GB2312"/>
          <w:sz w:val="32"/>
          <w:szCs w:val="32"/>
        </w:rPr>
        <w:t>）</w:t>
      </w:r>
    </w:p>
    <w:p>
      <w:pPr>
        <w:widowControl/>
        <w:adjustRightInd w:val="0"/>
        <w:spacing w:line="560" w:lineRule="exact"/>
        <w:ind w:firstLine="642" w:firstLineChars="200"/>
        <w:contextualSpacing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3.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现代商贸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。</w:t>
      </w:r>
      <w:r>
        <w:rPr>
          <w:rFonts w:ascii="Times New Roman" w:hAnsi="Times New Roman" w:eastAsia="仿宋_GB2312" w:cs="Times New Roman"/>
          <w:sz w:val="32"/>
          <w:szCs w:val="32"/>
        </w:rPr>
        <w:t>重点发展数字贸易、离岸贸易、转口贸易、跨境电商，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推动传统商贸业数字化改造升级，</w:t>
      </w:r>
      <w:r>
        <w:rPr>
          <w:rFonts w:ascii="Times New Roman" w:hAnsi="Times New Roman" w:eastAsia="仿宋_GB2312" w:cs="Times New Roman"/>
          <w:sz w:val="32"/>
          <w:szCs w:val="32"/>
        </w:rPr>
        <w:t>发展新业态、新模式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提升全球消费资源汇集能力。到2025年，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全市限额以上批发、零售业商品销售额超</w:t>
      </w:r>
      <w:r>
        <w:rPr>
          <w:rFonts w:ascii="Times New Roman" w:hAnsi="Times New Roman" w:eastAsia="仿宋_GB2312" w:cs="Times New Roman"/>
          <w:sz w:val="32"/>
          <w:szCs w:val="32"/>
        </w:rPr>
        <w:t>21000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亿元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  <w:r>
        <w:rPr>
          <w:rFonts w:hint="eastAsia" w:eastAsia="仿宋_GB2312"/>
          <w:sz w:val="32"/>
          <w:szCs w:val="32"/>
        </w:rPr>
        <w:t>（</w:t>
      </w:r>
      <w:r>
        <w:rPr>
          <w:rFonts w:hint="eastAsia" w:ascii="楷体_GB2312" w:hAnsi="Times New Roman" w:eastAsia="楷体_GB2312" w:cs="Times New Roman"/>
          <w:spacing w:val="6"/>
          <w:sz w:val="32"/>
          <w:szCs w:val="32"/>
        </w:rPr>
        <w:t>责任单位：</w:t>
      </w:r>
      <w:r>
        <w:rPr>
          <w:rFonts w:hint="eastAsia" w:eastAsia="楷体_GB2312"/>
          <w:sz w:val="32"/>
          <w:szCs w:val="32"/>
        </w:rPr>
        <w:t>市商务局、市文化和旅游局按职责分工负责</w:t>
      </w:r>
      <w:r>
        <w:rPr>
          <w:rFonts w:hint="eastAsia" w:eastAsia="仿宋_GB2312"/>
          <w:sz w:val="32"/>
          <w:szCs w:val="32"/>
        </w:rPr>
        <w:t>）</w:t>
      </w:r>
    </w:p>
    <w:p>
      <w:pPr>
        <w:widowControl/>
        <w:adjustRightInd w:val="0"/>
        <w:spacing w:line="560" w:lineRule="exact"/>
        <w:ind w:firstLine="642" w:firstLineChars="200"/>
        <w:contextualSpacing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4.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软件和信息服务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。</w:t>
      </w:r>
      <w:r>
        <w:rPr>
          <w:rFonts w:ascii="Times New Roman" w:hAnsi="Times New Roman" w:eastAsia="仿宋_GB2312" w:cs="Times New Roman"/>
          <w:sz w:val="32"/>
          <w:szCs w:val="32"/>
        </w:rPr>
        <w:t>重点发展</w:t>
      </w:r>
      <w:r>
        <w:rPr>
          <w:rFonts w:hint="eastAsia" w:ascii="仿宋_GB2312" w:eastAsia="仿宋_GB2312"/>
          <w:color w:val="000000"/>
          <w:sz w:val="32"/>
          <w:szCs w:val="32"/>
        </w:rPr>
        <w:t>工业软件、嵌入式软件、行业应用软件和新兴软件，提升产品和服务供给能力，</w:t>
      </w:r>
      <w:r>
        <w:rPr>
          <w:rFonts w:ascii="Times New Roman" w:hAnsi="Times New Roman" w:eastAsia="仿宋_GB2312" w:cs="Times New Roman"/>
          <w:sz w:val="32"/>
          <w:szCs w:val="32"/>
        </w:rPr>
        <w:t>发展服务外包等业态。到2025年，全市软件和信息服务业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年均增速保持两位数增长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  <w:r>
        <w:rPr>
          <w:rFonts w:hint="eastAsia" w:eastAsia="仿宋_GB2312"/>
          <w:sz w:val="32"/>
          <w:szCs w:val="32"/>
        </w:rPr>
        <w:t>（</w:t>
      </w:r>
      <w:r>
        <w:rPr>
          <w:rFonts w:hint="eastAsia" w:ascii="楷体_GB2312" w:hAnsi="Times New Roman" w:eastAsia="楷体_GB2312" w:cs="Times New Roman"/>
          <w:spacing w:val="6"/>
          <w:sz w:val="32"/>
          <w:szCs w:val="32"/>
        </w:rPr>
        <w:t>责任单位：</w:t>
      </w:r>
      <w:r>
        <w:rPr>
          <w:rFonts w:hint="eastAsia" w:eastAsia="楷体_GB2312"/>
          <w:sz w:val="32"/>
          <w:szCs w:val="32"/>
        </w:rPr>
        <w:t>市工业和信息化局、市商务局按职责分工负责</w:t>
      </w:r>
      <w:r>
        <w:rPr>
          <w:rFonts w:hint="eastAsia" w:eastAsia="仿宋_GB2312"/>
          <w:sz w:val="32"/>
          <w:szCs w:val="32"/>
        </w:rPr>
        <w:t>）</w:t>
      </w:r>
    </w:p>
    <w:p>
      <w:pPr>
        <w:widowControl/>
        <w:adjustRightInd w:val="0"/>
        <w:spacing w:line="560" w:lineRule="exact"/>
        <w:ind w:firstLine="642" w:firstLineChars="200"/>
        <w:contextualSpacing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5.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科技服务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。</w:t>
      </w:r>
      <w:r>
        <w:rPr>
          <w:rFonts w:hint="eastAsia" w:ascii="仿宋_GB2312" w:hAnsi="Times New Roman" w:eastAsia="仿宋_GB2312" w:cs="Times New Roman"/>
          <w:sz w:val="32"/>
          <w:szCs w:val="32"/>
        </w:rPr>
        <w:t>重点发展研究和试验发展服务、技术推广服务、检验检测、成果转化、技术转移、创新平台建设等领域，</w:t>
      </w:r>
      <w:r>
        <w:rPr>
          <w:rFonts w:ascii="Times New Roman" w:hAnsi="Times New Roman" w:eastAsia="仿宋_GB2312" w:cs="Times New Roman"/>
          <w:sz w:val="32"/>
          <w:szCs w:val="32"/>
        </w:rPr>
        <w:t>提升发展产品规划、设计管理咨询等高附加值工业设计服务。到2025年，全市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科技服务规模以上企业营业收入达到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450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亿元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。</w:t>
      </w:r>
      <w:r>
        <w:rPr>
          <w:rFonts w:hint="eastAsia" w:eastAsia="仿宋_GB2312"/>
          <w:sz w:val="32"/>
          <w:szCs w:val="32"/>
        </w:rPr>
        <w:t>（</w:t>
      </w:r>
      <w:r>
        <w:rPr>
          <w:rFonts w:hint="eastAsia" w:ascii="楷体_GB2312" w:hAnsi="Times New Roman" w:eastAsia="楷体_GB2312" w:cs="Times New Roman"/>
          <w:spacing w:val="6"/>
          <w:sz w:val="32"/>
          <w:szCs w:val="32"/>
        </w:rPr>
        <w:t>责任单位：</w:t>
      </w:r>
      <w:r>
        <w:rPr>
          <w:rFonts w:hint="eastAsia" w:eastAsia="楷体_GB2312"/>
          <w:sz w:val="32"/>
          <w:szCs w:val="32"/>
        </w:rPr>
        <w:t>市科技局负责</w:t>
      </w:r>
      <w:r>
        <w:rPr>
          <w:rFonts w:hint="eastAsia" w:eastAsia="仿宋_GB2312"/>
          <w:sz w:val="32"/>
          <w:szCs w:val="32"/>
        </w:rPr>
        <w:t>）</w:t>
      </w:r>
    </w:p>
    <w:p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 xml:space="preserve">    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6.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文化旅游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。</w:t>
      </w:r>
      <w:r>
        <w:rPr>
          <w:rFonts w:ascii="Times New Roman" w:hAnsi="Times New Roman" w:eastAsia="仿宋_GB2312" w:cs="Times New Roman"/>
          <w:sz w:val="32"/>
          <w:szCs w:val="32"/>
        </w:rPr>
        <w:t>重点发展</w:t>
      </w:r>
      <w:r>
        <w:rPr>
          <w:rFonts w:hint="eastAsia" w:ascii="仿宋_GB2312" w:hAnsi="仿宋_GB2312" w:eastAsia="仿宋_GB2312" w:cs="仿宋_GB2312"/>
          <w:sz w:val="32"/>
          <w:szCs w:val="32"/>
        </w:rPr>
        <w:t>影视文化、海洋旅游、出版发行及版权、数字文旅和文旅融合等产业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基本建成重要的国际滨海旅游目的地。到2025年，全市文化旅游产业规模（营业收入）突破3500亿元，</w:t>
      </w:r>
      <w:r>
        <w:rPr>
          <w:rFonts w:hint="eastAsia" w:ascii="仿宋_GB2312" w:hAnsi="仿宋_GB2312" w:eastAsia="仿宋_GB2312" w:cs="仿宋_GB2312"/>
          <w:sz w:val="32"/>
          <w:szCs w:val="32"/>
        </w:rPr>
        <w:t>规模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以上数字文化产业企业营业收入突破20</w:t>
      </w:r>
      <w:r>
        <w:rPr>
          <w:rFonts w:ascii="Times New Roman" w:hAnsi="Times New Roman" w:eastAsia="仿宋_GB2312" w:cs="Times New Roman"/>
          <w:sz w:val="32"/>
          <w:szCs w:val="32"/>
        </w:rPr>
        <w:t>0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亿元。</w:t>
      </w:r>
      <w:r>
        <w:rPr>
          <w:rFonts w:hint="eastAsia" w:eastAsia="仿宋_GB2312"/>
          <w:sz w:val="32"/>
          <w:szCs w:val="32"/>
        </w:rPr>
        <w:t>（</w:t>
      </w:r>
      <w:r>
        <w:rPr>
          <w:rFonts w:hint="eastAsia" w:ascii="楷体_GB2312" w:hAnsi="Times New Roman" w:eastAsia="楷体_GB2312" w:cs="Times New Roman"/>
          <w:spacing w:val="6"/>
          <w:sz w:val="32"/>
          <w:szCs w:val="32"/>
        </w:rPr>
        <w:t>责任单位：</w:t>
      </w:r>
      <w:r>
        <w:rPr>
          <w:rFonts w:hint="eastAsia" w:eastAsia="楷体_GB2312"/>
          <w:sz w:val="32"/>
          <w:szCs w:val="32"/>
        </w:rPr>
        <w:t>市文化和旅游局负责</w:t>
      </w:r>
      <w:r>
        <w:rPr>
          <w:rFonts w:hint="eastAsia" w:eastAsia="仿宋_GB2312"/>
          <w:sz w:val="32"/>
          <w:szCs w:val="32"/>
        </w:rPr>
        <w:t>）</w:t>
      </w:r>
    </w:p>
    <w:p>
      <w:pPr>
        <w:widowControl/>
        <w:adjustRightInd w:val="0"/>
        <w:spacing w:line="560" w:lineRule="exact"/>
        <w:ind w:firstLine="642" w:firstLineChars="200"/>
        <w:contextualSpacing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7.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会展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。</w:t>
      </w:r>
      <w:r>
        <w:rPr>
          <w:rFonts w:ascii="Times New Roman" w:hAnsi="Times New Roman" w:eastAsia="仿宋_GB2312" w:cs="Times New Roman"/>
          <w:sz w:val="32"/>
          <w:szCs w:val="32"/>
        </w:rPr>
        <w:t>重点聚焦品牌化、国际化、专业化、市场化、特色化发展方向，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  <w:t>打造一批优质会展项目、培育一批优秀会展企业、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推进产展融合发展、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  <w:t>营造一流会展环境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。</w:t>
      </w:r>
      <w:r>
        <w:rPr>
          <w:rFonts w:ascii="Times New Roman" w:hAnsi="Times New Roman" w:eastAsia="仿宋_GB2312" w:cs="Times New Roman"/>
          <w:sz w:val="32"/>
          <w:szCs w:val="32"/>
        </w:rPr>
        <w:t>到2025年，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会展产业链会展收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入达到260亿元左右，会展产业链相关企业总量达到 600 家以上。</w:t>
      </w:r>
      <w:r>
        <w:rPr>
          <w:rFonts w:hint="eastAsia" w:eastAsia="仿宋_GB2312"/>
          <w:sz w:val="32"/>
          <w:szCs w:val="32"/>
        </w:rPr>
        <w:t>（</w:t>
      </w:r>
      <w:r>
        <w:rPr>
          <w:rFonts w:hint="eastAsia" w:ascii="楷体_GB2312" w:hAnsi="Times New Roman" w:eastAsia="楷体_GB2312" w:cs="Times New Roman"/>
          <w:spacing w:val="6"/>
          <w:sz w:val="32"/>
          <w:szCs w:val="32"/>
        </w:rPr>
        <w:t>责任单位：</w:t>
      </w:r>
      <w:r>
        <w:rPr>
          <w:rFonts w:hint="eastAsia" w:eastAsia="楷体_GB2312"/>
          <w:sz w:val="32"/>
          <w:szCs w:val="32"/>
        </w:rPr>
        <w:t>市贸促会负责</w:t>
      </w:r>
      <w:r>
        <w:rPr>
          <w:rFonts w:hint="eastAsia" w:eastAsia="仿宋_GB2312"/>
          <w:sz w:val="32"/>
          <w:szCs w:val="32"/>
        </w:rPr>
        <w:t>）</w:t>
      </w:r>
    </w:p>
    <w:p>
      <w:pPr>
        <w:widowControl/>
        <w:adjustRightInd w:val="0"/>
        <w:spacing w:line="560" w:lineRule="exact"/>
        <w:ind w:firstLine="642" w:firstLineChars="200"/>
        <w:contextualSpacing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8.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商务服务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。</w:t>
      </w:r>
      <w:r>
        <w:rPr>
          <w:rFonts w:ascii="Times New Roman" w:hAnsi="Times New Roman" w:eastAsia="仿宋_GB2312" w:cs="Times New Roman"/>
          <w:sz w:val="32"/>
          <w:szCs w:val="32"/>
        </w:rPr>
        <w:t>重点发展总部经济、供应链、法律、会计、广告等商务中介服务领域，培育集聚一批高能级、国际化服务企业和机构，打造一批集供应链、法律服务、商务采购为一体的商务中介服务平台。到2025年，全市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法律</w:t>
      </w:r>
      <w:r>
        <w:rPr>
          <w:rFonts w:ascii="Times New Roman" w:hAnsi="Times New Roman" w:eastAsia="仿宋_GB2312" w:cs="Times New Roman"/>
          <w:sz w:val="32"/>
          <w:szCs w:val="32"/>
        </w:rPr>
        <w:t>服务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行</w:t>
      </w:r>
      <w:r>
        <w:rPr>
          <w:rFonts w:ascii="Times New Roman" w:hAnsi="Times New Roman" w:eastAsia="仿宋_GB2312" w:cs="Times New Roman"/>
          <w:sz w:val="32"/>
          <w:szCs w:val="32"/>
        </w:rPr>
        <w:t>业规模达到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40</w:t>
      </w:r>
      <w:r>
        <w:rPr>
          <w:rFonts w:ascii="Times New Roman" w:hAnsi="Times New Roman" w:eastAsia="仿宋_GB2312" w:cs="Times New Roman"/>
          <w:sz w:val="32"/>
          <w:szCs w:val="32"/>
        </w:rPr>
        <w:t>亿元，新认定总部企业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550</w:t>
      </w:r>
      <w:r>
        <w:rPr>
          <w:rFonts w:ascii="Times New Roman" w:hAnsi="Times New Roman" w:eastAsia="仿宋_GB2312" w:cs="Times New Roman"/>
          <w:sz w:val="32"/>
          <w:szCs w:val="32"/>
        </w:rPr>
        <w:t>家以上。</w:t>
      </w:r>
      <w:r>
        <w:rPr>
          <w:rFonts w:hint="eastAsia" w:eastAsia="仿宋_GB2312"/>
          <w:sz w:val="32"/>
          <w:szCs w:val="32"/>
        </w:rPr>
        <w:t>（</w:t>
      </w:r>
      <w:r>
        <w:rPr>
          <w:rFonts w:hint="eastAsia" w:ascii="楷体_GB2312" w:hAnsi="Times New Roman" w:eastAsia="楷体_GB2312" w:cs="Times New Roman"/>
          <w:spacing w:val="6"/>
          <w:sz w:val="32"/>
          <w:szCs w:val="32"/>
        </w:rPr>
        <w:t>责任单位：</w:t>
      </w:r>
      <w:r>
        <w:rPr>
          <w:rFonts w:hint="eastAsia" w:eastAsia="楷体_GB2312"/>
          <w:sz w:val="32"/>
          <w:szCs w:val="32"/>
        </w:rPr>
        <w:t>市司法局、市财政局、市商务局、市文化和旅游、市市场监管局按职责分工负责</w:t>
      </w:r>
      <w:r>
        <w:rPr>
          <w:rFonts w:hint="eastAsia" w:eastAsia="仿宋_GB2312"/>
          <w:sz w:val="32"/>
          <w:szCs w:val="32"/>
        </w:rPr>
        <w:t>）</w:t>
      </w:r>
    </w:p>
    <w:p>
      <w:pPr>
        <w:widowControl/>
        <w:adjustRightInd w:val="0"/>
        <w:spacing w:line="560" w:lineRule="exact"/>
        <w:ind w:firstLine="642" w:firstLineChars="200"/>
        <w:contextualSpacing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9.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人力资源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。</w:t>
      </w:r>
      <w:r>
        <w:rPr>
          <w:rFonts w:ascii="Times New Roman" w:hAnsi="Times New Roman" w:eastAsia="仿宋_GB2312" w:cs="Times New Roman"/>
          <w:sz w:val="32"/>
          <w:szCs w:val="32"/>
        </w:rPr>
        <w:t>重点推动人力资源服务业数字化转型，统筹推进各类人才市场、劳动力市场、零工市场建设，加快发展人力资源服务贸易，推进国家人力资源服务出口基地建设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加强现代职业教育与培训。到2025年，全市人力资源产业规模达到500亿元，营收过亿元人力资源机构达到65家以上。</w:t>
      </w:r>
      <w:r>
        <w:rPr>
          <w:rFonts w:hint="eastAsia" w:eastAsia="仿宋_GB2312"/>
          <w:sz w:val="32"/>
          <w:szCs w:val="32"/>
        </w:rPr>
        <w:t>（</w:t>
      </w:r>
      <w:r>
        <w:rPr>
          <w:rFonts w:hint="eastAsia" w:ascii="楷体_GB2312" w:hAnsi="Times New Roman" w:eastAsia="楷体_GB2312" w:cs="Times New Roman"/>
          <w:spacing w:val="6"/>
          <w:sz w:val="32"/>
          <w:szCs w:val="32"/>
        </w:rPr>
        <w:t>责任单位：</w:t>
      </w:r>
      <w:r>
        <w:rPr>
          <w:rFonts w:hint="eastAsia" w:eastAsia="楷体_GB2312"/>
          <w:sz w:val="32"/>
          <w:szCs w:val="32"/>
        </w:rPr>
        <w:t>市人力资源社会保障局负责</w:t>
      </w:r>
      <w:r>
        <w:rPr>
          <w:rFonts w:hint="eastAsia" w:eastAsia="仿宋_GB2312"/>
          <w:sz w:val="32"/>
          <w:szCs w:val="32"/>
        </w:rPr>
        <w:t>）</w:t>
      </w:r>
    </w:p>
    <w:p>
      <w:pPr>
        <w:widowControl/>
        <w:adjustRightInd w:val="0"/>
        <w:spacing w:line="560" w:lineRule="exact"/>
        <w:ind w:firstLine="642" w:firstLineChars="200"/>
        <w:contextualSpacing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10.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检验检测认证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。</w:t>
      </w:r>
      <w:r>
        <w:rPr>
          <w:rFonts w:ascii="Times New Roman" w:hAnsi="Times New Roman" w:eastAsia="仿宋_GB2312" w:cs="Times New Roman"/>
          <w:sz w:val="32"/>
          <w:szCs w:val="32"/>
        </w:rPr>
        <w:t>重点提升新品研发、技术攻关、产品检测、标准制定等优质服务，补齐产业链检验检测服务短板，打造检验检测服务重点产业链发展新模式，提供多元化的认证供给。到2025年，全市检验检测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认证</w:t>
      </w:r>
      <w:r>
        <w:rPr>
          <w:rFonts w:ascii="Times New Roman" w:hAnsi="Times New Roman" w:eastAsia="仿宋_GB2312" w:cs="Times New Roman"/>
          <w:sz w:val="32"/>
          <w:szCs w:val="32"/>
        </w:rPr>
        <w:t>产业规模达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70</w:t>
      </w:r>
      <w:r>
        <w:rPr>
          <w:rFonts w:ascii="Times New Roman" w:hAnsi="Times New Roman" w:eastAsia="仿宋_GB2312" w:cs="Times New Roman"/>
          <w:sz w:val="32"/>
          <w:szCs w:val="32"/>
        </w:rPr>
        <w:t>亿元，通过资质认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定</w:t>
      </w:r>
      <w:r>
        <w:rPr>
          <w:rFonts w:ascii="Times New Roman" w:hAnsi="Times New Roman" w:eastAsia="仿宋_GB2312" w:cs="Times New Roman"/>
          <w:sz w:val="32"/>
          <w:szCs w:val="32"/>
        </w:rPr>
        <w:t>的检验检测机构达到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520</w:t>
      </w:r>
      <w:r>
        <w:rPr>
          <w:rFonts w:ascii="Times New Roman" w:hAnsi="Times New Roman" w:eastAsia="仿宋_GB2312" w:cs="Times New Roman"/>
          <w:sz w:val="32"/>
          <w:szCs w:val="32"/>
        </w:rPr>
        <w:t>家以上。</w:t>
      </w:r>
      <w:r>
        <w:rPr>
          <w:rFonts w:hint="eastAsia" w:eastAsia="仿宋_GB2312"/>
          <w:sz w:val="32"/>
          <w:szCs w:val="32"/>
        </w:rPr>
        <w:t>（</w:t>
      </w:r>
      <w:r>
        <w:rPr>
          <w:rFonts w:hint="eastAsia" w:ascii="楷体_GB2312" w:hAnsi="Times New Roman" w:eastAsia="楷体_GB2312" w:cs="Times New Roman"/>
          <w:spacing w:val="6"/>
          <w:sz w:val="32"/>
          <w:szCs w:val="32"/>
        </w:rPr>
        <w:t>责任单位：</w:t>
      </w:r>
      <w:r>
        <w:rPr>
          <w:rFonts w:hint="eastAsia" w:eastAsia="楷体_GB2312"/>
          <w:sz w:val="32"/>
          <w:szCs w:val="32"/>
        </w:rPr>
        <w:t>市市场监管局负责</w:t>
      </w:r>
      <w:r>
        <w:rPr>
          <w:rFonts w:hint="eastAsia" w:eastAsia="仿宋_GB2312"/>
          <w:sz w:val="32"/>
          <w:szCs w:val="32"/>
        </w:rPr>
        <w:t>）</w:t>
      </w:r>
    </w:p>
    <w:p>
      <w:pPr>
        <w:widowControl/>
        <w:adjustRightInd w:val="0"/>
        <w:spacing w:line="560" w:lineRule="exact"/>
        <w:ind w:firstLine="640" w:firstLineChars="200"/>
        <w:contextualSpacing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四、</w:t>
      </w:r>
      <w:r>
        <w:rPr>
          <w:rFonts w:hint="eastAsia" w:ascii="Times New Roman" w:hAnsi="Times New Roman" w:eastAsia="黑体" w:cs="Times New Roman"/>
          <w:sz w:val="32"/>
          <w:szCs w:val="32"/>
        </w:rPr>
        <w:t>实施</w:t>
      </w:r>
      <w:r>
        <w:rPr>
          <w:rFonts w:ascii="Times New Roman" w:hAnsi="Times New Roman" w:eastAsia="黑体" w:cs="Times New Roman"/>
          <w:sz w:val="32"/>
          <w:szCs w:val="32"/>
        </w:rPr>
        <w:t>行动</w:t>
      </w:r>
    </w:p>
    <w:p>
      <w:pPr>
        <w:widowControl/>
        <w:adjustRightInd w:val="0"/>
        <w:spacing w:line="560" w:lineRule="exact"/>
        <w:ind w:firstLine="640" w:firstLineChars="200"/>
        <w:contextualSpacing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（一）</w:t>
      </w:r>
      <w:r>
        <w:rPr>
          <w:rFonts w:ascii="Times New Roman" w:hAnsi="楷体_GB2312" w:eastAsia="楷体_GB2312" w:cs="Times New Roman"/>
          <w:spacing w:val="6"/>
          <w:sz w:val="32"/>
          <w:szCs w:val="32"/>
        </w:rPr>
        <w:t>创新引领</w:t>
      </w:r>
      <w:r>
        <w:rPr>
          <w:rFonts w:hint="eastAsia" w:ascii="Times New Roman" w:hAnsi="楷体_GB2312" w:eastAsia="楷体_GB2312" w:cs="Times New Roman"/>
          <w:spacing w:val="6"/>
          <w:sz w:val="32"/>
          <w:szCs w:val="32"/>
        </w:rPr>
        <w:t>提升</w:t>
      </w:r>
      <w:r>
        <w:rPr>
          <w:rFonts w:ascii="Times New Roman" w:hAnsi="楷体_GB2312" w:eastAsia="楷体_GB2312" w:cs="Times New Roman"/>
          <w:spacing w:val="6"/>
          <w:sz w:val="32"/>
          <w:szCs w:val="32"/>
        </w:rPr>
        <w:t>行动</w:t>
      </w:r>
    </w:p>
    <w:p>
      <w:pPr>
        <w:pStyle w:val="14"/>
        <w:spacing w:line="560" w:lineRule="exact"/>
        <w:ind w:right="210" w:firstLine="666" w:firstLineChars="200"/>
        <w:contextualSpacing/>
        <w:rPr>
          <w:rFonts w:ascii="楷体_GB2312" w:hAnsi="Times New Roman" w:eastAsia="楷体_GB2312" w:cs="Times New Roman"/>
          <w:spacing w:val="6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pacing w:val="6"/>
          <w:sz w:val="32"/>
          <w:szCs w:val="32"/>
        </w:rPr>
        <w:t>1.</w:t>
      </w:r>
      <w:r>
        <w:rPr>
          <w:rFonts w:hint="eastAsia" w:ascii="Times New Roman" w:hAnsi="Times New Roman" w:eastAsia="仿宋_GB2312" w:cs="Times New Roman"/>
          <w:b/>
          <w:bCs/>
          <w:spacing w:val="6"/>
          <w:sz w:val="32"/>
          <w:szCs w:val="32"/>
        </w:rPr>
        <w:t xml:space="preserve"> 打造创新平台。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</w:rPr>
        <w:t>鼓励区（市）聚焦重点产业引进培育高水平研发平台和企业研发机构</w:t>
      </w:r>
      <w:r>
        <w:rPr>
          <w:rFonts w:ascii="仿宋_GB2312" w:hAnsi="Times New Roman" w:eastAsia="仿宋_GB2312" w:cs="仿宋_GB2312"/>
          <w:kern w:val="0"/>
          <w:sz w:val="32"/>
          <w:szCs w:val="32"/>
        </w:rPr>
        <w:t>,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</w:rPr>
        <w:t>给予政策支持</w:t>
      </w:r>
      <w:r>
        <w:rPr>
          <w:rFonts w:ascii="Times New Roman" w:hAnsi="Times New Roman" w:eastAsia="仿宋_GB2312" w:cs="Times New Roman"/>
          <w:spacing w:val="6"/>
          <w:sz w:val="32"/>
          <w:szCs w:val="32"/>
        </w:rPr>
        <w:t>。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</w:rPr>
        <w:t>支持打造以产业技术研发为主的新型研发机构。鼓励不同所有制专业服务机构平等参与市场竞争。</w:t>
      </w:r>
      <w:r>
        <w:rPr>
          <w:rFonts w:hint="eastAsia" w:ascii="仿宋_GB2312" w:eastAsia="仿宋_GB2312"/>
          <w:sz w:val="32"/>
          <w:szCs w:val="32"/>
        </w:rPr>
        <w:t xml:space="preserve">围绕特色型、专业型工业互联网平台，每年新培育或引进 </w:t>
      </w:r>
      <w:r>
        <w:rPr>
          <w:rFonts w:ascii="Times New Roman" w:hAnsi="Times New Roman" w:cs="Times New Roman"/>
          <w:sz w:val="32"/>
          <w:szCs w:val="32"/>
        </w:rPr>
        <w:t xml:space="preserve">10 </w:t>
      </w:r>
      <w:r>
        <w:rPr>
          <w:rFonts w:hint="eastAsia" w:ascii="仿宋_GB2312" w:eastAsia="仿宋_GB2312"/>
          <w:sz w:val="32"/>
          <w:szCs w:val="32"/>
        </w:rPr>
        <w:t>家特定行业特定领域平台。推动企业综合服务平台、场景赋能公共服务平台</w:t>
      </w:r>
      <w:r>
        <w:rPr>
          <w:rFonts w:hint="eastAsia" w:ascii="Times New Roman" w:hAnsi="Times New Roman" w:eastAsia="仿宋_GB2312" w:cs="Times New Roman"/>
          <w:spacing w:val="6"/>
          <w:sz w:val="32"/>
          <w:szCs w:val="32"/>
        </w:rPr>
        <w:t>持续迭代功能，累计上线</w:t>
      </w:r>
      <w:r>
        <w:rPr>
          <w:rFonts w:ascii="Times New Roman" w:hAnsi="Times New Roman" w:eastAsia="仿宋_GB2312" w:cs="Times New Roman"/>
          <w:spacing w:val="6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spacing w:val="6"/>
          <w:sz w:val="32"/>
          <w:szCs w:val="32"/>
        </w:rPr>
        <w:t xml:space="preserve">万个以上 </w:t>
      </w:r>
      <w:r>
        <w:rPr>
          <w:rFonts w:ascii="Times New Roman" w:hAnsi="Times New Roman" w:eastAsia="仿宋_GB2312" w:cs="Times New Roman"/>
          <w:spacing w:val="6"/>
          <w:sz w:val="32"/>
          <w:szCs w:val="32"/>
        </w:rPr>
        <w:t xml:space="preserve">SaaS </w:t>
      </w:r>
      <w:r>
        <w:rPr>
          <w:rFonts w:hint="eastAsia" w:ascii="Times New Roman" w:hAnsi="Times New Roman" w:eastAsia="仿宋_GB2312" w:cs="Times New Roman"/>
          <w:spacing w:val="6"/>
          <w:sz w:val="32"/>
          <w:szCs w:val="32"/>
        </w:rPr>
        <w:t>服务应用。</w:t>
      </w:r>
      <w:r>
        <w:rPr>
          <w:rFonts w:ascii="Times New Roman" w:hAnsi="Times New Roman" w:eastAsia="仿宋_GB2312" w:cs="Times New Roman"/>
          <w:spacing w:val="6"/>
          <w:sz w:val="32"/>
          <w:szCs w:val="32"/>
        </w:rPr>
        <w:t>培育认定一批省级、市级服务业创新中心</w:t>
      </w:r>
      <w:r>
        <w:rPr>
          <w:rFonts w:hint="eastAsia" w:ascii="Times New Roman" w:hAnsi="Times New Roman" w:eastAsia="仿宋_GB2312" w:cs="Times New Roman"/>
          <w:spacing w:val="6"/>
          <w:sz w:val="32"/>
          <w:szCs w:val="32"/>
        </w:rPr>
        <w:t>。</w:t>
      </w:r>
      <w:r>
        <w:rPr>
          <w:rFonts w:hint="eastAsia" w:ascii="楷体_GB2312" w:hAnsi="Times New Roman" w:eastAsia="楷体_GB2312" w:cs="Times New Roman"/>
          <w:spacing w:val="6"/>
          <w:sz w:val="32"/>
          <w:szCs w:val="32"/>
        </w:rPr>
        <w:t>（责任单位：市发展改革委</w:t>
      </w:r>
      <w:r>
        <w:rPr>
          <w:rFonts w:hint="eastAsia" w:ascii="楷体_GB2312" w:eastAsia="楷体_GB2312"/>
          <w:sz w:val="32"/>
          <w:szCs w:val="32"/>
        </w:rPr>
        <w:t>、</w:t>
      </w:r>
      <w:r>
        <w:rPr>
          <w:rFonts w:hint="eastAsia" w:ascii="楷体_GB2312" w:hAnsi="Times New Roman" w:eastAsia="楷体_GB2312" w:cs="Times New Roman"/>
          <w:spacing w:val="6"/>
          <w:sz w:val="32"/>
          <w:szCs w:val="32"/>
        </w:rPr>
        <w:t>市科技局、市工业和信息化局等相关部门按职责分工负责）</w:t>
      </w:r>
    </w:p>
    <w:p>
      <w:pPr>
        <w:pStyle w:val="14"/>
        <w:spacing w:line="560" w:lineRule="exact"/>
        <w:ind w:right="210" w:firstLine="666" w:firstLineChars="200"/>
        <w:contextualSpacing/>
        <w:rPr>
          <w:rFonts w:ascii="Times New Roman" w:hAnsi="Times New Roman" w:eastAsia="仿宋_GB2312" w:cs="Times New Roman"/>
          <w:spacing w:val="6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pacing w:val="6"/>
          <w:sz w:val="32"/>
          <w:szCs w:val="32"/>
        </w:rPr>
        <w:t xml:space="preserve">2. </w:t>
      </w:r>
      <w:r>
        <w:rPr>
          <w:rFonts w:hint="eastAsia" w:ascii="Times New Roman" w:hAnsi="Times New Roman" w:eastAsia="仿宋_GB2312" w:cs="Times New Roman"/>
          <w:b/>
          <w:bCs/>
          <w:spacing w:val="6"/>
          <w:sz w:val="32"/>
          <w:szCs w:val="32"/>
        </w:rPr>
        <w:t>培育创新主体。</w:t>
      </w:r>
      <w:r>
        <w:rPr>
          <w:rFonts w:hint="eastAsia" w:ascii="仿宋_GB2312" w:eastAsia="仿宋_GB2312"/>
          <w:sz w:val="32"/>
          <w:szCs w:val="32"/>
        </w:rPr>
        <w:t>支持龙头企业向中小企业共享开发环境、科研基础设施等创新资源，推动大中小企业深度协同。</w:t>
      </w:r>
      <w:r>
        <w:rPr>
          <w:rFonts w:ascii="Times New Roman" w:hAnsi="Times New Roman" w:eastAsia="仿宋_GB2312" w:cs="Times New Roman"/>
          <w:spacing w:val="6"/>
          <w:sz w:val="32"/>
          <w:szCs w:val="32"/>
        </w:rPr>
        <w:t>培育一批市级“新经济园区”“新经济新锐企业”“新经济高成长企业”</w:t>
      </w:r>
      <w:r>
        <w:rPr>
          <w:rFonts w:hint="eastAsia" w:ascii="Times New Roman" w:hAnsi="Times New Roman" w:eastAsia="仿宋_GB2312" w:cs="Times New Roman"/>
          <w:spacing w:val="6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pacing w:val="6"/>
          <w:sz w:val="32"/>
          <w:szCs w:val="32"/>
        </w:rPr>
        <w:t>认定一批市级服务业创新型示范企业。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</w:rPr>
        <w:t>推广实施科技创新券，鼓励和支持科技型中小企业购买研发和试验发展服务。</w:t>
      </w:r>
      <w:r>
        <w:rPr>
          <w:rFonts w:hint="eastAsia" w:ascii="楷体_GB2312" w:hAnsi="Times New Roman" w:eastAsia="楷体_GB2312" w:cs="Times New Roman"/>
          <w:spacing w:val="6"/>
          <w:sz w:val="32"/>
          <w:szCs w:val="32"/>
        </w:rPr>
        <w:t>（责任单位：市发展改革委、市科技局、市工业和信息化局等相关部门按职责分工负责）</w:t>
      </w:r>
    </w:p>
    <w:p>
      <w:pPr>
        <w:pStyle w:val="14"/>
        <w:spacing w:line="560" w:lineRule="exact"/>
        <w:ind w:right="210" w:firstLine="666" w:firstLineChars="200"/>
        <w:contextualSpacing/>
        <w:rPr>
          <w:rFonts w:ascii="楷体_GB2312" w:hAnsi="Times New Roman" w:eastAsia="楷体_GB2312" w:cs="Times New Roman"/>
          <w:spacing w:val="6"/>
          <w:sz w:val="32"/>
          <w:szCs w:val="32"/>
        </w:rPr>
      </w:pPr>
      <w:r>
        <w:rPr>
          <w:rFonts w:ascii="Times New Roman" w:hAnsi="Times New Roman" w:eastAsia="仿宋_GB2312" w:cs="Times New Roman"/>
          <w:b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Times New Roman" w:hAnsi="Times New Roman" w:eastAsia="仿宋_GB2312" w:cs="Times New Roman"/>
          <w:b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 xml:space="preserve"> 发展新兴业态。</w:t>
      </w:r>
      <w:r>
        <w:rPr>
          <w:rFonts w:ascii="Times New Roman" w:hAnsi="Times New Roman" w:eastAsia="仿宋_GB2312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培育壮大金融科技、数字创意、电子竞技、工业设计、元宇宙等新兴产业</w:t>
      </w:r>
      <w:r>
        <w:rPr>
          <w:rFonts w:hint="eastAsia" w:ascii="Times New Roman" w:hAnsi="Times New Roman" w:eastAsia="仿宋_GB2312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ascii="Times New Roman" w:hAnsi="Times New Roman" w:eastAsia="仿宋_GB2312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引导美丽经济、共享经济、体验经济等新模式有序发展，鼓励更多社会主体创新创业创造。</w:t>
      </w:r>
      <w:r>
        <w:rPr>
          <w:rFonts w:hint="eastAsia" w:ascii="Times New Roman" w:hAnsi="Times New Roman" w:eastAsia="仿宋_GB2312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探索检验检测认证服务重点产业链发展模式。</w:t>
      </w:r>
      <w:r>
        <w:rPr>
          <w:rFonts w:hint="eastAsia" w:ascii="仿宋_GB2312" w:eastAsia="仿宋_GB2312"/>
          <w:sz w:val="32"/>
          <w:szCs w:val="32"/>
        </w:rPr>
        <w:t>增强</w:t>
      </w:r>
      <w:r>
        <w:rPr>
          <w:rFonts w:ascii="仿宋_GB2312" w:eastAsia="仿宋_GB2312"/>
          <w:sz w:val="32"/>
          <w:szCs w:val="32"/>
        </w:rPr>
        <w:t>冷链国际联运能力，</w:t>
      </w:r>
      <w:r>
        <w:rPr>
          <w:rFonts w:hint="eastAsia" w:ascii="仿宋_GB2312" w:eastAsia="仿宋_GB2312"/>
          <w:sz w:val="32"/>
          <w:szCs w:val="32"/>
        </w:rPr>
        <w:t>稳步发展“国际海运+中欧冷藏专列”等冷链多式联运新模式。</w:t>
      </w:r>
      <w:r>
        <w:rPr>
          <w:rFonts w:hint="eastAsia" w:ascii="楷体_GB2312" w:hAnsi="Times New Roman" w:eastAsia="楷体_GB2312" w:cs="Times New Roman"/>
          <w:spacing w:val="6"/>
          <w:sz w:val="32"/>
          <w:szCs w:val="32"/>
        </w:rPr>
        <w:t>（责任单位：市科技局、市工业和信息化局、市发展改革委、市交通运输局、市商务局、市文化和旅游局、市市场监管、市地方金融监管局等相关部门按职责分工负责）</w:t>
      </w:r>
    </w:p>
    <w:p>
      <w:pPr>
        <w:pStyle w:val="14"/>
        <w:spacing w:line="560" w:lineRule="exact"/>
        <w:ind w:right="210" w:firstLine="666" w:firstLineChars="200"/>
        <w:contextualSpacing/>
        <w:rPr>
          <w:rFonts w:ascii="楷体_GB2312" w:hAnsi="Times New Roman" w:eastAsia="楷体_GB2312" w:cs="Times New Roman"/>
          <w:spacing w:val="6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4. 优化创新生态。</w:t>
      </w:r>
      <w:r>
        <w:rPr>
          <w:rFonts w:hint="eastAsia" w:ascii="Times New Roman" w:hAnsi="Times New Roman" w:eastAsia="仿宋_GB2312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培育以服务实体经济为导向的金融业态。实施头部创投风投引育行动，聚集一批行业领先机构及项目来青，搭建资本与项目常态化对接平台。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探索建立从实验研究到生产的全过程科技创新融资模式，支持创新型、中小微服务业企业发展。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</w:rPr>
        <w:t>健全知识产权公共服务运营平台</w:t>
      </w:r>
      <w:r>
        <w:rPr>
          <w:rFonts w:ascii="仿宋_GB2312" w:hAnsi="Times New Roman" w:eastAsia="仿宋_GB2312" w:cs="仿宋_GB2312"/>
          <w:kern w:val="0"/>
          <w:sz w:val="32"/>
          <w:szCs w:val="32"/>
        </w:rPr>
        <w:t>,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</w:rPr>
        <w:t>推进专利技术交易市场建设。</w:t>
      </w:r>
      <w:r>
        <w:rPr>
          <w:rFonts w:hint="eastAsia" w:ascii="Times New Roman" w:hAnsi="Times New Roman" w:eastAsia="仿宋_GB2312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深度融入全球人才链，推进国家人力资源服务出口基地建设。</w:t>
      </w:r>
      <w:r>
        <w:rPr>
          <w:rFonts w:hint="eastAsia" w:ascii="楷体_GB2312" w:hAnsi="Times New Roman" w:eastAsia="楷体_GB2312" w:cs="Times New Roman"/>
          <w:spacing w:val="6"/>
          <w:sz w:val="32"/>
          <w:szCs w:val="32"/>
        </w:rPr>
        <w:t>（责任单位：市民营经济局、市市场监管局、市地方金融监管局、市人力资源社会保障局等相关部门按职责分工负责）</w:t>
      </w:r>
    </w:p>
    <w:p>
      <w:pPr>
        <w:pStyle w:val="14"/>
        <w:spacing w:line="560" w:lineRule="exact"/>
        <w:ind w:right="210" w:firstLine="664" w:firstLineChars="200"/>
        <w:contextualSpacing/>
        <w:rPr>
          <w:rFonts w:ascii="楷体_GB2312" w:hAnsi="Times New Roman" w:eastAsia="楷体_GB2312" w:cs="Times New Roman"/>
          <w:spacing w:val="6"/>
          <w:sz w:val="32"/>
          <w:szCs w:val="32"/>
        </w:rPr>
      </w:pPr>
      <w:r>
        <w:rPr>
          <w:rFonts w:ascii="Times New Roman" w:hAnsi="楷体_GB2312" w:eastAsia="楷体_GB2312" w:cs="Times New Roman"/>
          <w:spacing w:val="6"/>
          <w:sz w:val="32"/>
          <w:szCs w:val="32"/>
        </w:rPr>
        <w:t>（二）数字赋能</w:t>
      </w:r>
      <w:r>
        <w:rPr>
          <w:rFonts w:hint="eastAsia" w:ascii="Times New Roman" w:hAnsi="楷体_GB2312" w:eastAsia="楷体_GB2312" w:cs="Times New Roman"/>
          <w:spacing w:val="6"/>
          <w:sz w:val="32"/>
          <w:szCs w:val="32"/>
        </w:rPr>
        <w:t>转型</w:t>
      </w:r>
      <w:r>
        <w:rPr>
          <w:rFonts w:ascii="Times New Roman" w:hAnsi="楷体_GB2312" w:eastAsia="楷体_GB2312" w:cs="Times New Roman"/>
          <w:spacing w:val="6"/>
          <w:sz w:val="32"/>
          <w:szCs w:val="32"/>
        </w:rPr>
        <w:t>行动</w:t>
      </w:r>
    </w:p>
    <w:p>
      <w:pPr>
        <w:widowControl/>
        <w:spacing w:line="560" w:lineRule="exac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 xml:space="preserve">    5</w:t>
      </w:r>
      <w:r>
        <w:rPr>
          <w:rFonts w:ascii="Times New Roman" w:hAnsi="Times New Roman" w:eastAsia="仿宋_GB2312" w:cs="Times New Roman"/>
          <w:b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eastAsia="仿宋_GB2312" w:cs="Times New Roman"/>
          <w:b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 xml:space="preserve"> 推动数字化转型。</w:t>
      </w:r>
      <w:r>
        <w:rPr>
          <w:rFonts w:hint="eastAsia" w:ascii="Times New Roman" w:hAnsi="Times New Roman" w:eastAsia="仿宋_GB2312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推动服务业企业“上云用数赋智”，迭代升级场景需求、能力供给清单。推动数字商贸发展，发展智慧批发市场和智慧商超。定义遴选一批数字化转型系统性解决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 xml:space="preserve">方案，每年打造 </w:t>
      </w:r>
      <w:r>
        <w:rPr>
          <w:rFonts w:ascii="Times New Roman" w:hAnsi="Times New Roman" w:cs="Times New Roman"/>
          <w:color w:val="000000"/>
          <w:kern w:val="0"/>
          <w:sz w:val="32"/>
          <w:szCs w:val="32"/>
        </w:rPr>
        <w:t xml:space="preserve">10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个融合赋能示范案例。认定一批数字赋能中心，打造数字生活服务样板城市、数字生产服务试点集群和服务企业数字转型示范。</w:t>
      </w:r>
      <w:r>
        <w:rPr>
          <w:rFonts w:hint="eastAsia" w:ascii="Times New Roman" w:hAnsi="Times New Roman" w:eastAsia="仿宋_GB2312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引进金融科技企业，推动金融机构数字化转型。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完善青岛国际航运中心现代航运服务信息化支撑保障平台功能，加快上合多式联运综合服务信息平台建设。</w:t>
      </w:r>
      <w:r>
        <w:rPr>
          <w:rFonts w:hint="eastAsia" w:ascii="Times New Roman" w:hAnsi="Times New Roman" w:eastAsia="仿宋_GB2312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鼓励景区开发数字化体验产品，发展沉浸式互动体验、虚拟展示等新型旅游服务。</w:t>
      </w:r>
      <w:r>
        <w:rPr>
          <w:rFonts w:hint="eastAsia" w:ascii="楷体_GB2312" w:hAnsi="Times New Roman" w:eastAsia="楷体_GB2312" w:cs="Times New Roman"/>
          <w:spacing w:val="6"/>
          <w:sz w:val="32"/>
          <w:szCs w:val="32"/>
        </w:rPr>
        <w:t>（责任单位：市发展改革委、市工业和信息化局、市交通运输局、市商务局、市文化和旅游局、市地方金融监管局等相关部门按职责分工负责）</w:t>
      </w:r>
    </w:p>
    <w:p>
      <w:pPr>
        <w:pStyle w:val="14"/>
        <w:spacing w:line="560" w:lineRule="exact"/>
        <w:ind w:right="210" w:firstLine="666" w:firstLineChars="200"/>
        <w:contextualSpacing/>
        <w:rPr>
          <w:rFonts w:ascii="Times New Roman" w:hAnsi="Times New Roman" w:eastAsia="仿宋_GB2312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eastAsia="仿宋_GB2312" w:cs="Times New Roman"/>
          <w:b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eastAsia="仿宋_GB2312" w:cs="Times New Roman"/>
          <w:b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仿宋_GB2312" w:cs="Times New Roman"/>
          <w:b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拓展数字化场景</w:t>
      </w:r>
      <w:r>
        <w:rPr>
          <w:rFonts w:hint="eastAsia" w:ascii="Times New Roman" w:hAnsi="Times New Roman" w:eastAsia="仿宋_GB2312" w:cs="Times New Roman"/>
          <w:b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仿宋_GB2312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稳步推进数字人民币试点，拓展数字人民币应用场景。推动孵化载体专业化发展，建设一批成长型、引领型标杆孵化器。</w:t>
      </w:r>
      <w:r>
        <w:rPr>
          <w:rFonts w:ascii="Times New Roman" w:hAnsi="Times New Roman" w:eastAsia="仿宋_GB2312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加快新型移动出行、在线办公、网络货运、“无接触”配送等新业态迭代升级。</w:t>
      </w:r>
      <w:r>
        <w:rPr>
          <w:rFonts w:hint="eastAsia" w:ascii="Times New Roman" w:hAnsi="Times New Roman" w:eastAsia="仿宋_GB2312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全面推进景区智能导航导览系统，完成□家4A级及以上景区网上分时预约系统。引导会展企业共建云展服务实体，培育线上会议和展览平台。</w:t>
      </w:r>
      <w:r>
        <w:rPr>
          <w:rFonts w:ascii="Times New Roman" w:hAnsi="Times New Roman" w:eastAsia="仿宋_GB2312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认定一批市级创新应用实验室</w:t>
      </w:r>
      <w:r>
        <w:rPr>
          <w:rFonts w:hint="eastAsia" w:ascii="Times New Roman" w:hAnsi="Times New Roman" w:eastAsia="仿宋_GB2312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、场景实验室和服务业数字化转型促进中心。动态遴选发布应用场景需求榜单，推广应用场景“揭榜挂帅”机制，开展应用场景“市民体验评价”。</w:t>
      </w:r>
      <w:r>
        <w:rPr>
          <w:rFonts w:hint="eastAsia" w:ascii="楷体_GB2312" w:hAnsi="Times New Roman" w:eastAsia="楷体_GB2312" w:cs="Times New Roman"/>
          <w:spacing w:val="6"/>
          <w:sz w:val="32"/>
          <w:szCs w:val="32"/>
        </w:rPr>
        <w:t>（责任单位：市发展改革委、市科技局、市工业和信息化局、市交通运输局、市文化和旅游局、市地方金融监管局、市贸促会等相关部门按职责分工负责）</w:t>
      </w:r>
    </w:p>
    <w:p>
      <w:pPr>
        <w:pStyle w:val="14"/>
        <w:spacing w:line="560" w:lineRule="exact"/>
        <w:ind w:right="210" w:firstLine="666" w:firstLineChars="200"/>
        <w:contextualSpacing/>
        <w:rPr>
          <w:rFonts w:ascii="楷体_GB2312" w:hAnsi="Times New Roman" w:eastAsia="楷体_GB2312" w:cs="Times New Roman"/>
          <w:spacing w:val="6"/>
          <w:sz w:val="32"/>
          <w:szCs w:val="32"/>
        </w:rPr>
      </w:pPr>
      <w:r>
        <w:rPr>
          <w:rFonts w:ascii="Times New Roman" w:hAnsi="Times New Roman" w:eastAsia="仿宋_GB2312" w:cs="Times New Roman"/>
          <w:b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7. 完善基础设施建设。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加快“双千兆”网络覆盖，建成5G 基站3.5万个以上，实现城镇全覆盖。完善全光网通信基础设施，打造“城市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1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毫秒时延圈”。推进全国一体化大数据中心行业分中心布局，数据中心标准机柜数达到6万个。打通培育一批数字基础设施平台，推进城市数字底座实践试点。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打造未来服务先导试验区。</w:t>
      </w:r>
      <w:r>
        <w:rPr>
          <w:rFonts w:hint="eastAsia" w:ascii="楷体_GB2312" w:hAnsi="Times New Roman" w:eastAsia="楷体_GB2312" w:cs="Times New Roman"/>
          <w:spacing w:val="6"/>
          <w:sz w:val="32"/>
          <w:szCs w:val="32"/>
        </w:rPr>
        <w:t>（责任单位：市工业和信息化局、市发展改革委、市大数据局、市通信管理局等相关部门按职责分工负责）</w:t>
      </w:r>
    </w:p>
    <w:p>
      <w:pPr>
        <w:pStyle w:val="14"/>
        <w:spacing w:line="560" w:lineRule="exact"/>
        <w:ind w:right="210" w:firstLine="640" w:firstLineChars="200"/>
        <w:contextualSpacing/>
        <w:rPr>
          <w:rFonts w:ascii="楷体_GB2312" w:hAnsi="Times New Roman" w:eastAsia="楷体_GB2312" w:cs="Times New Roman"/>
          <w:spacing w:val="6"/>
          <w:sz w:val="32"/>
          <w:szCs w:val="32"/>
        </w:rPr>
      </w:pPr>
      <w:r>
        <w:rPr>
          <w:rFonts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</w:t>
      </w:r>
      <w:r>
        <w:rPr>
          <w:rFonts w:ascii="Times New Roman" w:hAnsi="楷体_GB2312" w:eastAsia="楷体_GB2312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产业</w:t>
      </w:r>
      <w:r>
        <w:rPr>
          <w:rFonts w:hint="eastAsia" w:ascii="Times New Roman" w:hAnsi="楷体_GB2312" w:eastAsia="楷体_GB2312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深度</w:t>
      </w:r>
      <w:r>
        <w:rPr>
          <w:rFonts w:ascii="Times New Roman" w:hAnsi="楷体_GB2312" w:eastAsia="楷体_GB2312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融合行动</w:t>
      </w:r>
    </w:p>
    <w:p>
      <w:pPr>
        <w:pStyle w:val="14"/>
        <w:spacing w:line="560" w:lineRule="exact"/>
        <w:ind w:right="210" w:firstLine="666" w:firstLineChars="200"/>
        <w:contextualSpacing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b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8.</w:t>
      </w:r>
      <w:r>
        <w:rPr>
          <w:rFonts w:hint="eastAsia" w:ascii="Times New Roman" w:hAnsi="Times New Roman" w:eastAsia="仿宋_GB2312" w:cs="Times New Roman"/>
          <w:b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 xml:space="preserve"> 促进制造业与服务业双向融合。</w:t>
      </w:r>
      <w:r>
        <w:rPr>
          <w:rFonts w:hint="eastAsia" w:ascii="Times New Roman" w:hAnsi="Times New Roman" w:eastAsia="仿宋_GB2312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鼓励大型工业企业和重点行业企业，剥离软件信息业务、整合行业软件力量，成立专业公司对外提供服务。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瞄准工业企业产品供应和服务链条的数字化升级，发展设备健康管理、产品远程运维、设备融资租赁等面向制造业的新型信息技术服务。</w:t>
      </w:r>
      <w:r>
        <w:rPr>
          <w:rFonts w:ascii="Times New Roman" w:hAnsi="Times New Roman" w:eastAsia="仿宋_GB2312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支持有条件的制造业企业向一体化服务总集成总承包商转变。培育一批国家级、省市级服务型制造示范企业（平台、项目）</w:t>
      </w:r>
      <w:r>
        <w:rPr>
          <w:rFonts w:hint="eastAsia" w:ascii="Times New Roman" w:hAnsi="Times New Roman" w:eastAsia="仿宋_GB2312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、两业融合试点单位和标杆企业。</w:t>
      </w:r>
      <w:r>
        <w:rPr>
          <w:rFonts w:hint="eastAsia" w:ascii="楷体_GB2312" w:hAnsi="Times New Roman" w:eastAsia="楷体_GB2312" w:cs="Times New Roman"/>
          <w:spacing w:val="6"/>
          <w:sz w:val="32"/>
          <w:szCs w:val="32"/>
        </w:rPr>
        <w:t>（责任单位：市发展改革委、市工业和信息化局等相关部门按职责分工负责）</w:t>
      </w:r>
    </w:p>
    <w:p>
      <w:pPr>
        <w:widowControl/>
        <w:spacing w:line="560" w:lineRule="exact"/>
        <w:rPr>
          <w:rFonts w:ascii="Times New Roman" w:hAnsi="Times New Roman" w:eastAsia="仿宋_GB2312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FF0000"/>
          <w:spacing w:val="6"/>
          <w:sz w:val="32"/>
          <w:szCs w:val="32"/>
        </w:rPr>
        <w:t xml:space="preserve">   </w:t>
      </w:r>
      <w:r>
        <w:rPr>
          <w:rFonts w:ascii="Times New Roman" w:hAnsi="Times New Roman" w:eastAsia="仿宋_GB2312" w:cs="Times New Roman"/>
          <w:b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 xml:space="preserve"> 9.</w:t>
      </w:r>
      <w:r>
        <w:rPr>
          <w:rFonts w:hint="eastAsia" w:ascii="Times New Roman" w:hAnsi="Times New Roman" w:eastAsia="仿宋_GB2312" w:cs="Times New Roman"/>
          <w:b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 xml:space="preserve"> 促进生产性服业务与生活性服务业联动耦合。</w:t>
      </w:r>
      <w:r>
        <w:rPr>
          <w:rFonts w:hint="eastAsia" w:ascii="Times New Roman" w:hAnsi="Times New Roman" w:eastAsia="仿宋_GB2312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完善文化科技融合创新体系，培育壮大科技型文化企业，打造文化科技融合发展新业态等。推动影视外景地建设与旅游景区开发深度融合，培育网红影视旅游目的地。</w:t>
      </w:r>
      <w:r>
        <w:rPr>
          <w:rFonts w:ascii="Times New Roman" w:hAnsi="Times New Roman" w:eastAsia="仿宋_GB2312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支持建设农业、种业互联网平台，加快传统农业向专业化和价值链高端延伸。</w:t>
      </w:r>
      <w:r>
        <w:rPr>
          <w:rFonts w:hint="eastAsia" w:ascii="仿宋_GB2312" w:eastAsia="仿宋_GB2312"/>
          <w:sz w:val="32"/>
          <w:szCs w:val="32"/>
        </w:rPr>
        <w:t>支持商贸企业</w:t>
      </w:r>
      <w:r>
        <w:rPr>
          <w:rFonts w:ascii="仿宋_GB2312" w:eastAsia="仿宋_GB2312"/>
          <w:sz w:val="32"/>
          <w:szCs w:val="32"/>
        </w:rPr>
        <w:t>、</w:t>
      </w:r>
      <w:r>
        <w:rPr>
          <w:rFonts w:hint="eastAsia" w:ascii="仿宋_GB2312" w:eastAsia="仿宋_GB2312"/>
          <w:sz w:val="32"/>
          <w:szCs w:val="32"/>
        </w:rPr>
        <w:t>物流</w:t>
      </w:r>
      <w:r>
        <w:rPr>
          <w:rFonts w:ascii="仿宋_GB2312" w:eastAsia="仿宋_GB2312"/>
          <w:sz w:val="32"/>
          <w:szCs w:val="32"/>
        </w:rPr>
        <w:t>企业</w:t>
      </w:r>
      <w:r>
        <w:rPr>
          <w:rFonts w:hint="eastAsia" w:ascii="仿宋_GB2312" w:eastAsia="仿宋_GB2312"/>
          <w:sz w:val="32"/>
          <w:szCs w:val="32"/>
        </w:rPr>
        <w:t>向“供应链”服务企业转型。</w:t>
      </w:r>
      <w:r>
        <w:rPr>
          <w:rFonts w:hint="eastAsia" w:ascii="楷体_GB2312" w:hAnsi="Times New Roman" w:eastAsia="楷体_GB2312" w:cs="Times New Roman"/>
          <w:spacing w:val="6"/>
          <w:sz w:val="32"/>
          <w:szCs w:val="32"/>
        </w:rPr>
        <w:t>（责任单位：市科技局、市交通运输局、市商务局、市文化和旅游局等相关部门按职责分工负责）</w:t>
      </w:r>
    </w:p>
    <w:p>
      <w:pPr>
        <w:pStyle w:val="14"/>
        <w:spacing w:line="560" w:lineRule="exact"/>
        <w:ind w:right="210" w:firstLine="666" w:firstLineChars="200"/>
        <w:contextualSpacing/>
        <w:rPr>
          <w:rFonts w:ascii="楷体_GB2312" w:hAnsi="Times New Roman" w:eastAsia="楷体_GB2312" w:cs="Times New Roman"/>
          <w:spacing w:val="6"/>
          <w:sz w:val="32"/>
          <w:szCs w:val="32"/>
        </w:rPr>
      </w:pPr>
      <w:r>
        <w:rPr>
          <w:rFonts w:ascii="Times New Roman" w:hAnsi="Times New Roman" w:eastAsia="仿宋_GB2312" w:cs="Times New Roman"/>
          <w:b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10.</w:t>
      </w:r>
      <w:r>
        <w:rPr>
          <w:rFonts w:hint="eastAsia" w:ascii="Times New Roman" w:hAnsi="Times New Roman" w:eastAsia="仿宋_GB2312" w:cs="Times New Roman"/>
          <w:b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 xml:space="preserve"> 促进技术与产业紧密结合。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推进工业软件研发应用，形成一批面向数字化车间、智能工厂、工业互联网的工业软件和解决方案， 孵化</w:t>
      </w:r>
      <w:r>
        <w:rPr>
          <w:rFonts w:hint="eastAsia" w:ascii="Times New Roman" w:hAnsi="Times New Roman" w:eastAsia="仿宋_GB2312" w:cs="Times New Roman"/>
          <w:spacing w:val="6"/>
          <w:sz w:val="32"/>
          <w:szCs w:val="32"/>
        </w:rPr>
        <w:t>□□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个以上工业 APP。研发突破嵌入式操作系统，率先推动开源鸿蒙等国产嵌入式操作系统在家电行业应用。加快发展面向设计开发、生产制造、售后服务全过程的观测、分析、测试、检验、标准、认证等服务。开展标准化服务业试点示范建设。</w:t>
      </w:r>
      <w:r>
        <w:rPr>
          <w:rFonts w:hint="eastAsia" w:ascii="楷体_GB2312" w:hAnsi="Times New Roman" w:eastAsia="楷体_GB2312" w:cs="Times New Roman"/>
          <w:spacing w:val="6"/>
          <w:sz w:val="32"/>
          <w:szCs w:val="32"/>
        </w:rPr>
        <w:t>（责任单位：市工业和信息化局、市市场监管局等相关部门按职责分工负责）</w:t>
      </w:r>
    </w:p>
    <w:p>
      <w:pPr>
        <w:pStyle w:val="14"/>
        <w:spacing w:line="560" w:lineRule="exact"/>
        <w:ind w:right="210" w:firstLine="664" w:firstLineChars="200"/>
        <w:contextualSpacing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楷体_GB2312" w:eastAsia="楷体_GB2312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（四）市场主体培育行动</w:t>
      </w:r>
    </w:p>
    <w:p>
      <w:pPr>
        <w:widowControl/>
        <w:spacing w:line="560" w:lineRule="exac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Times New Roman" w:eastAsia="仿宋_GB2312"/>
          <w:b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ascii="Times New Roman" w:eastAsia="仿宋_GB2312"/>
          <w:b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11. 持续壮大产业规模。</w:t>
      </w:r>
      <w:r>
        <w:rPr>
          <w:rFonts w:hint="eastAsia" w:ascii="Times New Roman" w:eastAsia="仿宋_GB2312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培育和遴选一批具有生态主导力的现代服务业链主企业，遴选“</w:t>
      </w:r>
      <w:r>
        <w:rPr>
          <w:rFonts w:ascii="Times New Roman" w:eastAsia="仿宋_GB2312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50</w:t>
      </w:r>
      <w:r>
        <w:rPr>
          <w:rFonts w:hint="eastAsia" w:ascii="Times New Roman" w:eastAsia="仿宋_GB2312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+”龙头企业树立标杆、“</w:t>
      </w:r>
      <w:r>
        <w:rPr>
          <w:rFonts w:ascii="Times New Roman" w:eastAsia="仿宋_GB2312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500</w:t>
      </w:r>
      <w:r>
        <w:rPr>
          <w:rFonts w:hint="eastAsia" w:ascii="Times New Roman" w:eastAsia="仿宋_GB2312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+”成长企业匠心扶持、“</w:t>
      </w:r>
      <w:r>
        <w:rPr>
          <w:rFonts w:ascii="Times New Roman" w:eastAsia="仿宋_GB2312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5000</w:t>
      </w:r>
      <w:r>
        <w:rPr>
          <w:rFonts w:hint="eastAsia" w:ascii="Times New Roman" w:eastAsia="仿宋_GB2312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+”潜力企业孵化培育</w:t>
      </w:r>
      <w:r>
        <w:rPr>
          <w:rFonts w:ascii="Times New Roman" w:eastAsia="仿宋_GB2312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eastAsia="仿宋_GB2312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形成雁阵发展模式。实施服务业“专精特新”企业培育工程。支持符合条件的新兴服务业企业通过登陆资本市场做优做强。用好现行支持企业规模提升政策措施，</w:t>
      </w:r>
      <w:r>
        <w:rPr>
          <w:rFonts w:ascii="Times New Roman" w:hAnsi="Times New Roman" w:eastAsia="仿宋_GB2312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有序推进服务业主体</w:t>
      </w:r>
      <w:r>
        <w:rPr>
          <w:rFonts w:hint="eastAsia" w:ascii="Times New Roman" w:hAnsi="Times New Roman" w:eastAsia="仿宋_GB2312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“</w:t>
      </w:r>
      <w:r>
        <w:rPr>
          <w:rFonts w:ascii="Times New Roman" w:hAnsi="Times New Roman" w:eastAsia="仿宋_GB2312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个转企</w:t>
      </w:r>
      <w:r>
        <w:rPr>
          <w:rFonts w:hint="eastAsia" w:ascii="Times New Roman" w:hAnsi="Times New Roman" w:eastAsia="仿宋_GB2312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Times New Roman" w:eastAsia="仿宋_GB2312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“</w:t>
      </w:r>
      <w:r>
        <w:rPr>
          <w:rFonts w:ascii="Times New Roman" w:eastAsia="仿宋_GB2312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小升规</w:t>
      </w:r>
      <w:r>
        <w:rPr>
          <w:rFonts w:hint="eastAsia" w:ascii="Times New Roman" w:eastAsia="仿宋_GB2312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”</w:t>
      </w:r>
      <w:r>
        <w:rPr>
          <w:rFonts w:hint="eastAsia" w:eastAsia="仿宋_GB2312"/>
          <w:bCs/>
          <w:sz w:val="32"/>
          <w:szCs w:val="32"/>
        </w:rPr>
        <w:t>。</w:t>
      </w:r>
      <w:r>
        <w:rPr>
          <w:rFonts w:eastAsia="仿宋_GB2312"/>
          <w:bCs/>
          <w:sz w:val="32"/>
          <w:szCs w:val="32"/>
        </w:rPr>
        <w:t>引育</w:t>
      </w:r>
      <w:r>
        <w:rPr>
          <w:rFonts w:hint="eastAsia" w:eastAsia="仿宋_GB2312"/>
          <w:bCs/>
          <w:sz w:val="32"/>
          <w:szCs w:val="32"/>
        </w:rPr>
        <w:t>一批</w:t>
      </w:r>
      <w:r>
        <w:rPr>
          <w:rFonts w:eastAsia="仿宋_GB2312"/>
          <w:bCs/>
          <w:sz w:val="32"/>
          <w:szCs w:val="32"/>
        </w:rPr>
        <w:t>中介</w:t>
      </w:r>
      <w:r>
        <w:rPr>
          <w:rFonts w:hint="eastAsia" w:eastAsia="仿宋_GB2312"/>
          <w:bCs/>
          <w:sz w:val="32"/>
          <w:szCs w:val="32"/>
        </w:rPr>
        <w:t>专业</w:t>
      </w:r>
      <w:r>
        <w:rPr>
          <w:rFonts w:eastAsia="仿宋_GB2312"/>
          <w:bCs/>
          <w:sz w:val="32"/>
          <w:szCs w:val="32"/>
        </w:rPr>
        <w:t>机构，发展一批行业商协会、产业联盟</w:t>
      </w:r>
      <w:r>
        <w:rPr>
          <w:rFonts w:hint="eastAsia" w:eastAsia="仿宋_GB2312"/>
          <w:bCs/>
          <w:sz w:val="32"/>
          <w:szCs w:val="32"/>
        </w:rPr>
        <w:t>。</w:t>
      </w:r>
      <w:r>
        <w:rPr>
          <w:rFonts w:hint="eastAsia" w:ascii="楷体_GB2312" w:hAnsi="Times New Roman" w:eastAsia="楷体_GB2312" w:cs="Times New Roman"/>
          <w:spacing w:val="6"/>
          <w:sz w:val="32"/>
          <w:szCs w:val="32"/>
        </w:rPr>
        <w:t>（责任单位：市发展改革委、市科技局、市工业和信息化局、市财政局、市文化和旅游局、市地方金融监管局、市民营经济局等相关部门按职责分工负责）</w:t>
      </w:r>
    </w:p>
    <w:p>
      <w:pPr>
        <w:widowControl/>
        <w:spacing w:line="560" w:lineRule="exact"/>
        <w:rPr>
          <w:rFonts w:ascii="Times New Roman" w:hAnsi="Times New Roman" w:eastAsia="仿宋_GB2312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eastAsia="仿宋_GB2312"/>
          <w:b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ascii="Times New Roman" w:eastAsia="仿宋_GB2312"/>
          <w:b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12. 加快总部经济集聚。</w:t>
      </w:r>
      <w:r>
        <w:rPr>
          <w:rFonts w:hint="eastAsia" w:ascii="Times New Roman" w:eastAsia="仿宋_GB2312"/>
          <w:b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eastAsia="仿宋_GB2312"/>
          <w:bCs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重点推动浮山湾、唐岛湾、金家岭集聚区发展，在以上3个重点总部企业集聚发展基础比较好的区域内，利用国家、省市相关配套政策的红利，做好总部经济发展的政策服务支撑体系，重点培育和发展我市现代服务业、高新技术产业和优势传统产业企业总部，发挥我市主导产业对产业链总部企业的带动和汇集作用，促进总部产业链相关企业聚集发展，加快形成优势产业集群。</w:t>
      </w:r>
      <w:r>
        <w:rPr>
          <w:rFonts w:hint="eastAsia" w:ascii="楷体_GB2312" w:hAnsi="Times New Roman" w:eastAsia="楷体_GB2312" w:cs="Times New Roman"/>
          <w:spacing w:val="6"/>
          <w:sz w:val="32"/>
          <w:szCs w:val="32"/>
        </w:rPr>
        <w:t>（责任单位：市商务局等相关部门按职责分工负责）</w:t>
      </w:r>
    </w:p>
    <w:p>
      <w:pPr>
        <w:widowControl/>
        <w:spacing w:line="560" w:lineRule="exac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Times New Roman" w:eastAsia="仿宋_GB2312"/>
          <w:b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ascii="Times New Roman" w:eastAsia="仿宋_GB2312"/>
          <w:b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 xml:space="preserve">13. </w:t>
      </w:r>
      <w:r>
        <w:rPr>
          <w:rFonts w:hint="eastAsia" w:ascii="Times New Roman" w:eastAsia="仿宋_GB2312"/>
          <w:b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做强</w:t>
      </w:r>
      <w:r>
        <w:rPr>
          <w:rFonts w:ascii="Times New Roman" w:eastAsia="仿宋_GB2312"/>
          <w:b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青岛服务品牌。</w:t>
      </w:r>
      <w:r>
        <w:rPr>
          <w:rFonts w:hint="eastAsia" w:ascii="Times New Roman" w:eastAsia="仿宋_GB2312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培育新一代“青岛金花”企业，支持企业打响服务品牌，健全品牌营运管理体系。深入实施服务业“标准+”行动，鼓励第三方研究机构加强品牌挖掘、发布、推广和服务。开展新锐品牌培育计划，挖掘一批在产品、服务、销售等方面具有创新性的品牌企业</w:t>
      </w:r>
      <w:r>
        <w:rPr>
          <w:rFonts w:ascii="Times New Roman" w:eastAsia="仿宋_GB2312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</w:rPr>
        <w:t>鼓励知识产权运营公司与高校院所、企业</w:t>
      </w:r>
      <w:r>
        <w:rPr>
          <w:rFonts w:ascii="仿宋_GB2312" w:eastAsia="仿宋_GB2312" w:cs="仿宋_GB2312"/>
          <w:kern w:val="0"/>
          <w:sz w:val="32"/>
          <w:szCs w:val="32"/>
        </w:rPr>
        <w:t>，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</w:rPr>
        <w:t>联合开展知识产权创造、布局、引进、转让等活动，形成国内知名知识产权服务品牌。</w:t>
      </w:r>
      <w:r>
        <w:rPr>
          <w:rFonts w:hint="eastAsia" w:ascii="楷体_GB2312" w:hAnsi="Times New Roman" w:eastAsia="楷体_GB2312" w:cs="Times New Roman"/>
          <w:spacing w:val="6"/>
          <w:sz w:val="32"/>
          <w:szCs w:val="32"/>
        </w:rPr>
        <w:t>（责任单位：市发展和改革委、市工业和信息化局、市农业农村局市文化和旅游局、市市场监管局等相关部门按职责分工负责）</w:t>
      </w:r>
    </w:p>
    <w:p>
      <w:pPr>
        <w:widowControl/>
        <w:spacing w:line="560" w:lineRule="exact"/>
        <w:ind w:firstLine="675"/>
        <w:rPr>
          <w:rFonts w:ascii="楷体_GB2312" w:hAnsi="Times New Roman" w:eastAsia="楷体_GB2312" w:cs="Times New Roman"/>
          <w:spacing w:val="6"/>
          <w:sz w:val="32"/>
          <w:szCs w:val="32"/>
        </w:rPr>
      </w:pPr>
      <w:r>
        <w:rPr>
          <w:rFonts w:hint="eastAsia" w:ascii="Times New Roman" w:eastAsia="仿宋_GB2312"/>
          <w:b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eastAsia="仿宋_GB2312"/>
          <w:b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Times New Roman" w:eastAsia="仿宋_GB2312"/>
          <w:b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 xml:space="preserve"> 提升载体承载能力。</w:t>
      </w:r>
      <w:r>
        <w:rPr>
          <w:rFonts w:hint="eastAsia" w:ascii="Times New Roman" w:eastAsia="仿宋_GB2312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以“数字赋能、特色鲜明、业态高端、能级突出”为导向，创建打造一批、提质升级一批、谋划培育一批现代服务业集聚区。</w:t>
      </w:r>
      <w:r>
        <w:rPr>
          <w:rFonts w:ascii="Times New Roman" w:eastAsia="仿宋_GB2312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实施楼宇经济成长行动，制定楼宇更新改造、专业特色楼宇培育等清单，启动老旧商务楼宇更新改造试点，培育发展一批金融楼、信息楼等特色楼宇。</w:t>
      </w:r>
      <w:r>
        <w:rPr>
          <w:rFonts w:hint="eastAsia" w:ascii="Times New Roman" w:eastAsia="仿宋_GB2312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探索“人才、资本、项目”打包引进模式，畅通平台、中介、龙头、数字等多元招商渠道，实施跨层级、跨地域协同招商。争取到2</w:t>
      </w:r>
      <w:r>
        <w:rPr>
          <w:rFonts w:ascii="Times New Roman" w:eastAsia="仿宋_GB2312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025</w:t>
      </w:r>
      <w:r>
        <w:rPr>
          <w:rFonts w:hint="eastAsia" w:ascii="Times New Roman" w:eastAsia="仿宋_GB2312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年，招引高能级服务业企业（项目）3</w:t>
      </w:r>
      <w:r>
        <w:rPr>
          <w:rFonts w:ascii="Times New Roman" w:eastAsia="仿宋_GB2312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Times New Roman" w:eastAsia="仿宋_GB2312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家以上，服务业累计实际利用外资超</w:t>
      </w:r>
      <w:r>
        <w:rPr>
          <w:rFonts w:hint="eastAsia" w:ascii="Times New Roman" w:hAnsi="Times New Roman" w:eastAsia="仿宋_GB2312" w:cs="Times New Roman"/>
          <w:spacing w:val="6"/>
          <w:sz w:val="32"/>
          <w:szCs w:val="32"/>
        </w:rPr>
        <w:t>□□</w:t>
      </w:r>
      <w:r>
        <w:rPr>
          <w:rFonts w:hint="eastAsia" w:ascii="Times New Roman" w:eastAsia="仿宋_GB2312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亿美元，服务业重大项目投资累计达到</w:t>
      </w:r>
      <w:r>
        <w:rPr>
          <w:rFonts w:hint="eastAsia" w:ascii="Times New Roman" w:hAnsi="Times New Roman" w:eastAsia="仿宋_GB2312" w:cs="Times New Roman"/>
          <w:spacing w:val="6"/>
          <w:sz w:val="32"/>
          <w:szCs w:val="32"/>
        </w:rPr>
        <w:t>□□</w:t>
      </w:r>
      <w:r>
        <w:rPr>
          <w:rFonts w:hint="eastAsia" w:ascii="Times New Roman" w:eastAsia="仿宋_GB2312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万亿元。</w:t>
      </w:r>
      <w:r>
        <w:rPr>
          <w:rFonts w:hint="eastAsia" w:ascii="楷体_GB2312" w:hAnsi="Times New Roman" w:eastAsia="楷体_GB2312" w:cs="Times New Roman"/>
          <w:spacing w:val="6"/>
          <w:sz w:val="32"/>
          <w:szCs w:val="32"/>
        </w:rPr>
        <w:t>（责任单位：市发展改革委、市科技局、市工业和信息化局等相关部门按职责分工负责）</w:t>
      </w:r>
    </w:p>
    <w:p>
      <w:pPr>
        <w:widowControl/>
        <w:spacing w:line="560" w:lineRule="exact"/>
        <w:ind w:firstLine="675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Times New Roman" w:hAnsi="楷体_GB2312" w:eastAsia="楷体_GB2312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（五）消费提质扩容行动</w:t>
      </w:r>
    </w:p>
    <w:p>
      <w:pPr>
        <w:spacing w:line="560" w:lineRule="exact"/>
        <w:ind w:firstLine="666" w:firstLineChars="200"/>
        <w:contextualSpacing/>
        <w:rPr>
          <w:rFonts w:ascii="楷体_GB2312" w:hAnsi="Times New Roman" w:eastAsia="楷体_GB2312" w:cs="Times New Roman"/>
          <w:spacing w:val="6"/>
          <w:sz w:val="32"/>
          <w:szCs w:val="32"/>
        </w:rPr>
      </w:pPr>
      <w:r>
        <w:rPr>
          <w:rFonts w:ascii="Times New Roman" w:eastAsia="仿宋_GB2312"/>
          <w:b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eastAsia="仿宋_GB2312"/>
          <w:b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eastAsia="仿宋_GB2312"/>
          <w:b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eastAsia="仿宋_GB2312"/>
          <w:b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 xml:space="preserve"> 推动传统消费升级。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开展“亿惠青岛消费年”系列活动，组织重点商圈、特色商街、商业企业、品牌企业开展营销活动。发放零售、餐饮、文旅、家电、汽车等惠民消费券，提升领取使用便利度。改造提升商品批发市场信息化水平、线上线下融合能力以及服务拓展功能。</w:t>
      </w:r>
      <w:r>
        <w:rPr>
          <w:rFonts w:hint="eastAsia" w:ascii="楷体_GB2312" w:hAnsi="Times New Roman" w:eastAsia="楷体_GB2312" w:cs="Times New Roman"/>
          <w:spacing w:val="6"/>
          <w:sz w:val="32"/>
          <w:szCs w:val="32"/>
        </w:rPr>
        <w:t>（责任单位：市发展改革委、市商务局、市财政局、市文化和旅游局、市市场监管局等相关部门按职责分工负责）</w:t>
      </w:r>
    </w:p>
    <w:p>
      <w:pPr>
        <w:spacing w:line="560" w:lineRule="exact"/>
        <w:ind w:firstLine="666" w:firstLineChars="200"/>
        <w:contextualSpacing/>
        <w:rPr>
          <w:rFonts w:ascii="Times New Roman" w:hAns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eastAsia="仿宋_GB2312"/>
          <w:b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16. 大力发展新型消费。</w:t>
      </w:r>
      <w:r>
        <w:rPr>
          <w:rFonts w:hint="eastAsia" w:ascii="Times New Roman" w:hAns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持直播电商、社群电商、“小程序”电商发展。鼓励电商企业对重点商家、品牌给予入驻、流量、数据等专项支持。鼓励企业开展智能、节能家电和通讯产品以旧换新活动。建设一批集文创商店、小剧场、艺术展览、沉浸式体验型项目等多种业态的新型文旅消费集聚地。发展“四首经济”，对在我市开设全国、全省首店的知名国际国内品牌零售及餐饮企业，择优给予奖励。</w:t>
      </w:r>
      <w:r>
        <w:rPr>
          <w:rFonts w:ascii="Times New Roman" w:hAns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鼓励金融机构丰富消费信贷金融产品，合理放宽消费信贷期限，降低消费信贷利率</w:t>
      </w:r>
      <w:r>
        <w:rPr>
          <w:rFonts w:hint="eastAsia" w:ascii="Times New Roman" w:hAns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楷体_GB2312" w:hAnsi="Times New Roman" w:eastAsia="楷体_GB2312" w:cs="Times New Roman"/>
          <w:spacing w:val="6"/>
          <w:sz w:val="32"/>
          <w:szCs w:val="32"/>
        </w:rPr>
        <w:t>（责任单位：市发展改革委、市商务局、市文化和旅游局、市地方金融监管局等相关部门按职责分工负责）</w:t>
      </w:r>
    </w:p>
    <w:p>
      <w:pPr>
        <w:widowControl/>
        <w:spacing w:line="560" w:lineRule="exac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Times New Roman" w:eastAsia="仿宋_GB2312"/>
          <w:b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 xml:space="preserve">    17. 营造丰富消费场景。</w:t>
      </w:r>
      <w:r>
        <w:rPr>
          <w:rFonts w:hint="eastAsia" w:ascii="Times New Roman" w:hAns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聚焦地标性夜生活集聚区，探索24小时营业区试点，创建3至5家省级以上夜间文化和旅游消费集聚区。加快台东步行街改造升级，争创国家级示范步行街。探索设立周末分时段步行街区。评选城市有机更新与消费场景营造示范项目和示范案例。在不影响周边居民和单位正常生产生活的前提下，有序放开酒吧、咖啡店、轻餐饮店等的“外摆位”限制，组织开展“外摆”试点。打造一批消费新场景，每年评选1</w:t>
      </w:r>
      <w:r>
        <w:rPr>
          <w:rFonts w:ascii="Times New Roman" w:hAns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Times New Roman" w:hAns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家市级消费新场景示范项目。</w:t>
      </w:r>
      <w:r>
        <w:rPr>
          <w:rFonts w:hint="eastAsia" w:ascii="楷体_GB2312" w:hAnsi="Times New Roman" w:eastAsia="楷体_GB2312" w:cs="Times New Roman"/>
          <w:spacing w:val="6"/>
          <w:sz w:val="32"/>
          <w:szCs w:val="32"/>
        </w:rPr>
        <w:t>（责任单位：市发展改革委、市城市管理局、市商务局、市文化和旅游局等相关部门按职责分工负责）</w:t>
      </w:r>
    </w:p>
    <w:p>
      <w:pPr>
        <w:pStyle w:val="11"/>
        <w:spacing w:line="560" w:lineRule="exact"/>
        <w:ind w:firstLine="664"/>
        <w:contextualSpacing/>
        <w:rPr>
          <w:rFonts w:hint="default" w:ascii="Times New Roman" w:eastAsia="楷体_GB2312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楷体_GB2312" w:eastAsia="楷体_GB2312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ascii="Times New Roman" w:hAnsi="楷体_GB2312" w:eastAsia="楷体_GB2312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六</w:t>
      </w:r>
      <w:r>
        <w:rPr>
          <w:rFonts w:hint="default" w:ascii="Times New Roman" w:hAnsi="楷体_GB2312" w:eastAsia="楷体_GB2312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）深化改革开放行动</w:t>
      </w:r>
    </w:p>
    <w:p>
      <w:pPr>
        <w:adjustRightInd w:val="0"/>
        <w:spacing w:line="560" w:lineRule="exact"/>
        <w:ind w:firstLine="666" w:firstLineChars="200"/>
        <w:contextualSpacing/>
        <w:rPr>
          <w:rFonts w:ascii="Times New Roman" w:hAns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eastAsia="仿宋_GB2312"/>
          <w:b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eastAsia="仿宋_GB2312"/>
          <w:b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8</w:t>
      </w:r>
      <w:r>
        <w:rPr>
          <w:rFonts w:ascii="Times New Roman" w:eastAsia="仿宋_GB2312"/>
          <w:b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eastAsia="仿宋_GB2312"/>
          <w:b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 xml:space="preserve"> 增强辐射带动能力。</w:t>
      </w:r>
      <w:r>
        <w:rPr>
          <w:rFonts w:hint="eastAsia" w:ascii="Times New Roman" w:hAns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推进生产服务型（港口型）和商贸服务型国家物流枢纽建设，打造国家物流枢纽建设运营新标杆。建设“中日韩海上高速公路”，稳步发展中韩陆海联运通道，适时发展整车运输。加强山东半岛城市群及沿黄流域重要内陆枢纽城市的协同联动，打造区域性中欧班列集结中心。推动RCEP成员、上合组织、一带一路沿线等国家消费类商品在我市集聚，推动日韩消费专区建设。</w:t>
      </w:r>
      <w:r>
        <w:rPr>
          <w:rFonts w:hint="eastAsia" w:ascii="楷体_GB2312" w:hAnsi="Times New Roman" w:eastAsia="楷体_GB2312" w:cs="Times New Roman"/>
          <w:spacing w:val="6"/>
          <w:sz w:val="32"/>
          <w:szCs w:val="32"/>
        </w:rPr>
        <w:t>（责任单位：市发展改革委、市交通运输局、市商务局等相关部门按职责分工负责）</w:t>
      </w:r>
    </w:p>
    <w:p>
      <w:pPr>
        <w:widowControl/>
        <w:spacing w:line="560" w:lineRule="exac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Times New Roman" w:eastAsia="仿宋_GB2312"/>
          <w:b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 xml:space="preserve">    19. 加快推进试点示范。</w:t>
      </w:r>
      <w:r>
        <w:rPr>
          <w:rFonts w:ascii="Times New Roman" w:hAnsi="Times New Roman" w:eastAsia="仿宋_GB2312" w:cs="Times New Roman"/>
          <w:sz w:val="32"/>
          <w:szCs w:val="32"/>
        </w:rPr>
        <w:t>推进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山东自贸区青岛片区、上合示范区制度型开放，加快</w:t>
      </w:r>
      <w:r>
        <w:rPr>
          <w:rFonts w:ascii="Times New Roman" w:hAnsi="Times New Roman" w:eastAsia="仿宋_GB2312" w:cs="Times New Roman"/>
          <w:sz w:val="32"/>
          <w:szCs w:val="32"/>
        </w:rPr>
        <w:t>西海岸新区国家进口贸易促进创新示范区建设，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争取国际登记船舶开放入级检验、第五航权、原油非国营贸易进口资质等试点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持续深化国家级多式联运示范工程和上合示范区省级多式联运“一单制”试点工程建设。争创国家数字服务出口基地、国家文化出口基地。</w:t>
      </w:r>
      <w:r>
        <w:rPr>
          <w:rFonts w:ascii="Times New Roman" w:hAnsi="Times New Roman" w:eastAsia="仿宋_GB2312" w:cs="Times New Roman"/>
          <w:sz w:val="32"/>
          <w:szCs w:val="32"/>
        </w:rPr>
        <w:t>争创国家服务业开放试点城市，推动金融、电信、教育、医疗、文化等重点服务业领域扩大开放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  <w:r>
        <w:rPr>
          <w:rFonts w:ascii="Times New Roman" w:hAnsi="Times New Roman" w:eastAsia="仿宋_GB2312" w:cs="Times New Roman"/>
          <w:sz w:val="32"/>
          <w:szCs w:val="32"/>
        </w:rPr>
        <w:t>期现联动做强一批大宗商品市场平台，开展产能预售、仓单互认等业务试点。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楷体_GB2312" w:hAnsi="Times New Roman" w:eastAsia="楷体_GB2312" w:cs="Times New Roman"/>
          <w:spacing w:val="6"/>
          <w:sz w:val="32"/>
          <w:szCs w:val="32"/>
        </w:rPr>
        <w:t>责任单位：市委改革办、市发展改革委、市交通运输局、市商务局、市文化和旅游局、西海岸新区管委、青岛自贸片区工委管委、上合示范区管委等相关部门按职责分工负责）</w:t>
      </w:r>
    </w:p>
    <w:p>
      <w:pPr>
        <w:widowControl/>
        <w:spacing w:line="560" w:lineRule="exac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Times New Roman" w:eastAsia="仿宋_GB2312"/>
          <w:b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 xml:space="preserve">    20. 深化放管服改革。</w:t>
      </w:r>
      <w:r>
        <w:rPr>
          <w:rFonts w:hint="eastAsia" w:ascii="Times New Roman" w:hAns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严格落实国家、省各项税费支持政策，贯彻小微企业税收优惠政策，落实提高企业研发费用加计扣除比例、股权激励递延纳税和技术成果投资入股选择性税收优惠等政策。探索适应服务业新业态新模式发展的准入准营标准、“沙盒”监管方式等。鼓励民营企业通过资本联合、模式创新等参与国有企业重大项目。</w:t>
      </w:r>
      <w:r>
        <w:rPr>
          <w:rFonts w:ascii="Times New Roman" w:hAns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在人员出入境、外籍人才永久居留、外国人来华工作许可等方面，实施更加开放便利的政策措施。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楷体_GB2312" w:hAnsi="Times New Roman" w:eastAsia="楷体_GB2312" w:cs="Times New Roman"/>
          <w:spacing w:val="6"/>
          <w:sz w:val="32"/>
          <w:szCs w:val="32"/>
        </w:rPr>
        <w:t>责任单位：市科技局、市财政局、市行政审批局、市税务局等相关部门按职责分工负责）</w:t>
      </w:r>
    </w:p>
    <w:p>
      <w:pPr>
        <w:spacing w:line="560" w:lineRule="exact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 xml:space="preserve">    </w:t>
      </w:r>
      <w:r>
        <w:rPr>
          <w:rFonts w:ascii="Times New Roman" w:hAnsi="Times New Roman" w:eastAsia="黑体" w:cs="Times New Roman"/>
          <w:sz w:val="32"/>
          <w:szCs w:val="32"/>
        </w:rPr>
        <w:t>五、</w:t>
      </w:r>
      <w:r>
        <w:rPr>
          <w:rFonts w:hint="eastAsia" w:ascii="Times New Roman" w:hAnsi="Times New Roman" w:eastAsia="黑体" w:cs="Times New Roman"/>
          <w:sz w:val="32"/>
          <w:szCs w:val="32"/>
        </w:rPr>
        <w:t>保障措施</w:t>
      </w:r>
    </w:p>
    <w:p>
      <w:pPr>
        <w:widowControl/>
        <w:spacing w:line="56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（一）优化完善体制机制。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充分</w:t>
      </w:r>
      <w:r>
        <w:rPr>
          <w:rFonts w:ascii="Times New Roman" w:hAnsi="Times New Roman" w:eastAsia="仿宋_GB2312" w:cs="Times New Roman"/>
          <w:sz w:val="32"/>
          <w:szCs w:val="32"/>
        </w:rPr>
        <w:t>发挥市服务业发展领导小组统筹协调作用，建立“1+10”工作体制，设立综合协调组和10个部门专项工作组。构建“1+N”扶持政策体系，聚焦共性问题和薄弱环节优化完善1个综合性政策，聚焦关键领域和重点行业优化完善N个专项政策，重塑服务业发展体制机制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形成</w:t>
      </w:r>
      <w:r>
        <w:rPr>
          <w:rFonts w:ascii="Times New Roman" w:hAnsi="Times New Roman" w:eastAsia="仿宋_GB2312" w:cs="Times New Roman"/>
          <w:sz w:val="32"/>
          <w:szCs w:val="32"/>
        </w:rPr>
        <w:t>重点任务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、支持政策、重点项目、重大活动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“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4</w:t>
      </w:r>
      <w:r>
        <w:rPr>
          <w:rFonts w:ascii="Times New Roman" w:hAnsi="Times New Roman" w:eastAsia="仿宋_GB2312" w:cs="Times New Roman"/>
          <w:sz w:val="32"/>
          <w:szCs w:val="32"/>
        </w:rPr>
        <w:t>张清单”，清单式推进现代服务业高质量发展。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楷体_GB2312" w:hAnsi="Times New Roman" w:eastAsia="楷体_GB2312" w:cs="Times New Roman"/>
          <w:spacing w:val="6"/>
          <w:sz w:val="32"/>
          <w:szCs w:val="32"/>
        </w:rPr>
        <w:t>责任单位：各相关部门按职责分工负责）</w:t>
      </w:r>
    </w:p>
    <w:p>
      <w:pPr>
        <w:widowControl/>
        <w:spacing w:line="56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楷体_GB2312" w:hAnsi="仿宋_GB2312" w:eastAsia="楷体_GB2312" w:cs="仿宋_GB2312"/>
          <w:sz w:val="32"/>
          <w:szCs w:val="32"/>
        </w:rPr>
        <w:t>（二）强化提升要素保障。</w:t>
      </w:r>
      <w:r>
        <w:rPr>
          <w:rFonts w:hint="eastAsia" w:ascii="仿宋_GB2312" w:hAnsi="仿宋_GB2312" w:eastAsia="仿宋_GB2312" w:cs="仿宋_GB2312"/>
          <w:sz w:val="32"/>
          <w:szCs w:val="32"/>
        </w:rPr>
        <w:t>统筹用好支持服务业高质量发展相关政策措施，引导支持产业发展。做大服务业产业基金规模，撬动社会资本参与服务业新兴领域培育壮大。优化土地供应调控机制，探索新型产业用地M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等土地供给模式，创新用地供给方式。推进实施“青岛菁英工程”人才，评选产业领军人才和行业拔尖人才，推动生产性服务人才专业化、生活性服务人才职业化发展，完善灵活就业人员社会保险政策。深化数字要素市场化改革，充分释放数据要素红利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楷体_GB2312" w:hAnsi="Times New Roman" w:eastAsia="楷体_GB2312" w:cs="Times New Roman"/>
          <w:spacing w:val="6"/>
          <w:sz w:val="32"/>
          <w:szCs w:val="32"/>
        </w:rPr>
        <w:t>责任单位：市委组织部、市发展改革委、市人力资源保障局、市财政局、市自然资源和规划局、地方金融监管局、市大数据局按职责分工负责）</w:t>
      </w:r>
    </w:p>
    <w:p>
      <w:pPr>
        <w:adjustRightInd w:val="0"/>
        <w:spacing w:line="560" w:lineRule="exact"/>
        <w:ind w:firstLine="664" w:firstLineChars="200"/>
        <w:contextualSpacing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6"/>
          <w:sz w:val="32"/>
          <w:szCs w:val="32"/>
        </w:rPr>
        <w:t>（三）完善数字监测分析。</w:t>
      </w:r>
      <w:r>
        <w:rPr>
          <w:rFonts w:hint="eastAsia" w:ascii="仿宋_GB2312" w:hAnsi="仿宋_GB2312" w:eastAsia="仿宋_GB2312" w:cs="仿宋_GB2312"/>
          <w:sz w:val="32"/>
          <w:szCs w:val="32"/>
        </w:rPr>
        <w:t>推行惠企政策直达快享，充分发挥“青岛政策通”平台作用，实现现代服务业政策全流程数字化管理。完善统计监测，探索建立符合现代服务业高质量发展要求的服务业统计调查制度。推进产业平台建设，建立现代服务业发展形势分析制度，加强重点行业和重点企业运行监测分析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楷体_GB2312" w:hAnsi="Times New Roman" w:eastAsia="楷体_GB2312" w:cs="Times New Roman"/>
          <w:spacing w:val="6"/>
          <w:sz w:val="32"/>
          <w:szCs w:val="32"/>
        </w:rPr>
        <w:t>责任单位：市发展改革委、市统计局、市民营经济局按职责分工负责）</w:t>
      </w:r>
    </w:p>
    <w:p>
      <w:pPr>
        <w:widowControl/>
        <w:adjustRightInd w:val="0"/>
        <w:spacing w:line="560" w:lineRule="exact"/>
        <w:ind w:firstLine="640" w:firstLineChars="200"/>
        <w:contextualSpacing/>
        <w:jc w:val="left"/>
        <w:rPr>
          <w:rFonts w:ascii="仿宋_GB2312" w:eastAsia="仿宋_GB2312" w:cs="仿宋_GB2312"/>
          <w:spacing w:val="6"/>
          <w:sz w:val="32"/>
          <w:szCs w:val="32"/>
        </w:rPr>
      </w:pPr>
      <w:r>
        <w:rPr>
          <w:rFonts w:hint="eastAsia" w:ascii="楷体_GB2312" w:hAnsi="仿宋_GB2312" w:eastAsia="楷体_GB2312" w:cs="仿宋_GB2312"/>
          <w:sz w:val="32"/>
          <w:szCs w:val="32"/>
        </w:rPr>
        <w:t>（四）加大考核督查激励。</w:t>
      </w:r>
      <w:r>
        <w:rPr>
          <w:rFonts w:hint="eastAsia" w:ascii="仿宋_GB2312" w:eastAsia="仿宋_GB2312" w:cs="仿宋_GB2312"/>
          <w:spacing w:val="6"/>
          <w:sz w:val="32"/>
          <w:szCs w:val="32"/>
        </w:rPr>
        <w:t>完善服务业专项考核体系，领导小组按年度制定工作要点，各区市、部门及工作组负责具体工作推进落实，考核结果纳入全市高质量发展考核体系。建立健全督查和通报机制，做到有奖有惩，推动资源要素、扶持政策向工作力度大、成效好的区市、部门及工作组集中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楷体_GB2312" w:hAnsi="Times New Roman" w:eastAsia="楷体_GB2312" w:cs="Times New Roman"/>
          <w:spacing w:val="6"/>
          <w:sz w:val="32"/>
          <w:szCs w:val="32"/>
        </w:rPr>
        <w:t>责任单位：各相关部门按职责分工负责）</w:t>
      </w:r>
    </w:p>
    <w:sectPr>
      <w:footerReference r:id="rId6" w:type="first"/>
      <w:headerReference r:id="rId3" w:type="default"/>
      <w:footerReference r:id="rId4" w:type="default"/>
      <w:footerReference r:id="rId5" w:type="even"/>
      <w:pgSz w:w="11906" w:h="16838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altName w:val="Times New Roman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Courier New">
    <w:altName w:val="DejaVu Sans"/>
    <w:panose1 w:val="02070309020205020404"/>
    <w:charset w:val="00"/>
    <w:family w:val="modern"/>
    <w:pitch w:val="default"/>
    <w:sig w:usb0="00000000" w:usb1="00000000" w:usb2="00000009" w:usb3="00000000" w:csb0="0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ind w:right="210" w:firstLine="2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ind w:right="210" w:firstLine="28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ind w:right="210" w:firstLine="28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96C047D"/>
    <w:multiLevelType w:val="multilevel"/>
    <w:tmpl w:val="E96C047D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黑体" w:cs="宋体"/>
        <w:sz w:val="32"/>
        <w:szCs w:val="32"/>
      </w:rPr>
    </w:lvl>
    <w:lvl w:ilvl="1" w:tentative="0">
      <w:start w:val="1"/>
      <w:numFmt w:val="chineseCounting"/>
      <w:suff w:val="nothing"/>
      <w:lvlText w:val="（%2）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楷体_GB2312" w:cs="宋体"/>
        <w:sz w:val="32"/>
        <w:szCs w:val="32"/>
      </w:rPr>
    </w:lvl>
    <w:lvl w:ilvl="2" w:tentative="0">
      <w:start w:val="1"/>
      <w:numFmt w:val="decimal"/>
      <w:suff w:val="nothing"/>
      <w:lvlText w:val="%3．"/>
      <w:lvlJc w:val="left"/>
      <w:pPr>
        <w:tabs>
          <w:tab w:val="left" w:pos="0"/>
        </w:tabs>
        <w:ind w:left="0" w:firstLine="0"/>
      </w:pPr>
      <w:rPr>
        <w:rFonts w:hint="eastAsia" w:ascii="Times New Roman" w:hAnsi="Times New Roman" w:eastAsia="宋体" w:cs="宋体"/>
        <w:sz w:val="32"/>
        <w:szCs w:val="32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88B"/>
    <w:rsid w:val="00013583"/>
    <w:rsid w:val="000419C2"/>
    <w:rsid w:val="000C1201"/>
    <w:rsid w:val="001678BC"/>
    <w:rsid w:val="00250702"/>
    <w:rsid w:val="002E387D"/>
    <w:rsid w:val="00380598"/>
    <w:rsid w:val="00381FCA"/>
    <w:rsid w:val="003E7905"/>
    <w:rsid w:val="005579DE"/>
    <w:rsid w:val="00564225"/>
    <w:rsid w:val="00597180"/>
    <w:rsid w:val="005E28AF"/>
    <w:rsid w:val="005F0BC4"/>
    <w:rsid w:val="00602B03"/>
    <w:rsid w:val="0068021E"/>
    <w:rsid w:val="006C6CF6"/>
    <w:rsid w:val="0071649D"/>
    <w:rsid w:val="00761054"/>
    <w:rsid w:val="007A4086"/>
    <w:rsid w:val="007A6892"/>
    <w:rsid w:val="0087188B"/>
    <w:rsid w:val="0091500F"/>
    <w:rsid w:val="00922D31"/>
    <w:rsid w:val="00966612"/>
    <w:rsid w:val="009A4A34"/>
    <w:rsid w:val="009B2AAA"/>
    <w:rsid w:val="009F2D84"/>
    <w:rsid w:val="00AA7B20"/>
    <w:rsid w:val="00AF410F"/>
    <w:rsid w:val="00B34530"/>
    <w:rsid w:val="00BC1537"/>
    <w:rsid w:val="00C313EC"/>
    <w:rsid w:val="00C91A8D"/>
    <w:rsid w:val="00CE2507"/>
    <w:rsid w:val="00DA52D1"/>
    <w:rsid w:val="00E2520F"/>
    <w:rsid w:val="00E60817"/>
    <w:rsid w:val="00F73BDF"/>
    <w:rsid w:val="00FF208B"/>
    <w:rsid w:val="02DD00A0"/>
    <w:rsid w:val="0392154A"/>
    <w:rsid w:val="0757569F"/>
    <w:rsid w:val="078D1FE3"/>
    <w:rsid w:val="08A35A76"/>
    <w:rsid w:val="090F04C4"/>
    <w:rsid w:val="09952DD4"/>
    <w:rsid w:val="0C744BE0"/>
    <w:rsid w:val="0CA009B6"/>
    <w:rsid w:val="0DD07767"/>
    <w:rsid w:val="12E56C73"/>
    <w:rsid w:val="163E1931"/>
    <w:rsid w:val="169A505A"/>
    <w:rsid w:val="18573471"/>
    <w:rsid w:val="1B3043CC"/>
    <w:rsid w:val="1B7C622C"/>
    <w:rsid w:val="1C9B7BBA"/>
    <w:rsid w:val="1DC31E18"/>
    <w:rsid w:val="1DCC6235"/>
    <w:rsid w:val="1E016C46"/>
    <w:rsid w:val="20B22EEE"/>
    <w:rsid w:val="20E91824"/>
    <w:rsid w:val="218E4E10"/>
    <w:rsid w:val="219E00D5"/>
    <w:rsid w:val="22B54CE3"/>
    <w:rsid w:val="23F14E82"/>
    <w:rsid w:val="25220FCE"/>
    <w:rsid w:val="26F55F9B"/>
    <w:rsid w:val="277B3920"/>
    <w:rsid w:val="27AB04A3"/>
    <w:rsid w:val="2836353C"/>
    <w:rsid w:val="29CD3943"/>
    <w:rsid w:val="2AE40E73"/>
    <w:rsid w:val="2BBAA8F1"/>
    <w:rsid w:val="2CB3739B"/>
    <w:rsid w:val="2F267382"/>
    <w:rsid w:val="2F8F6F4A"/>
    <w:rsid w:val="320F5C45"/>
    <w:rsid w:val="33076611"/>
    <w:rsid w:val="345801E3"/>
    <w:rsid w:val="35DC5761"/>
    <w:rsid w:val="363318E4"/>
    <w:rsid w:val="36FB1E81"/>
    <w:rsid w:val="37321097"/>
    <w:rsid w:val="395066CD"/>
    <w:rsid w:val="397B70A9"/>
    <w:rsid w:val="3AD611BA"/>
    <w:rsid w:val="3B332B77"/>
    <w:rsid w:val="3CD928AE"/>
    <w:rsid w:val="3D7D78C2"/>
    <w:rsid w:val="3DF02C1B"/>
    <w:rsid w:val="3E934837"/>
    <w:rsid w:val="41115024"/>
    <w:rsid w:val="42834ADB"/>
    <w:rsid w:val="44B7728A"/>
    <w:rsid w:val="45696D32"/>
    <w:rsid w:val="463F548F"/>
    <w:rsid w:val="47AB5DF2"/>
    <w:rsid w:val="485D45B4"/>
    <w:rsid w:val="49DE032B"/>
    <w:rsid w:val="4C631334"/>
    <w:rsid w:val="4CE1090D"/>
    <w:rsid w:val="4DCE6EE8"/>
    <w:rsid w:val="50316486"/>
    <w:rsid w:val="50DF18A6"/>
    <w:rsid w:val="51C86B10"/>
    <w:rsid w:val="52187930"/>
    <w:rsid w:val="52E5417C"/>
    <w:rsid w:val="537D4A8C"/>
    <w:rsid w:val="53B54ECE"/>
    <w:rsid w:val="549A5427"/>
    <w:rsid w:val="549E14AB"/>
    <w:rsid w:val="55173D11"/>
    <w:rsid w:val="57AF2842"/>
    <w:rsid w:val="58115E5A"/>
    <w:rsid w:val="583D136B"/>
    <w:rsid w:val="58C7191D"/>
    <w:rsid w:val="59426EBB"/>
    <w:rsid w:val="594A6DA0"/>
    <w:rsid w:val="59805772"/>
    <w:rsid w:val="5A2D5045"/>
    <w:rsid w:val="5B182AF2"/>
    <w:rsid w:val="5D7B707D"/>
    <w:rsid w:val="610F66FC"/>
    <w:rsid w:val="61DD30BB"/>
    <w:rsid w:val="63E96F60"/>
    <w:rsid w:val="67FD7475"/>
    <w:rsid w:val="68A61818"/>
    <w:rsid w:val="6A841BD5"/>
    <w:rsid w:val="6BAA67C5"/>
    <w:rsid w:val="6E5E0B4E"/>
    <w:rsid w:val="6FF0558A"/>
    <w:rsid w:val="71D36A5F"/>
    <w:rsid w:val="71FB7A26"/>
    <w:rsid w:val="748332AF"/>
    <w:rsid w:val="75422757"/>
    <w:rsid w:val="75F33AB2"/>
    <w:rsid w:val="76DE193A"/>
    <w:rsid w:val="7716338E"/>
    <w:rsid w:val="773664A5"/>
    <w:rsid w:val="776C11BB"/>
    <w:rsid w:val="78F476A4"/>
    <w:rsid w:val="7A623205"/>
    <w:rsid w:val="7B815D5A"/>
    <w:rsid w:val="7B9F6B92"/>
    <w:rsid w:val="7CB31A3F"/>
    <w:rsid w:val="7CD83940"/>
    <w:rsid w:val="7CE36148"/>
    <w:rsid w:val="7ED61CE8"/>
    <w:rsid w:val="7F3D26DA"/>
    <w:rsid w:val="7F5E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tabs>
        <w:tab w:val="left" w:pos="0"/>
      </w:tabs>
      <w:spacing w:line="560" w:lineRule="exact"/>
      <w:ind w:firstLine="632" w:firstLineChars="200"/>
      <w:outlineLvl w:val="0"/>
    </w:pPr>
    <w:rPr>
      <w:rFonts w:ascii="黑体" w:hAnsi="黑体" w:eastAsia="黑体"/>
      <w:kern w:val="44"/>
    </w:rPr>
  </w:style>
  <w:style w:type="paragraph" w:styleId="3">
    <w:name w:val="heading 2"/>
    <w:basedOn w:val="1"/>
    <w:next w:val="1"/>
    <w:link w:val="19"/>
    <w:semiHidden/>
    <w:unhideWhenUsed/>
    <w:qFormat/>
    <w:uiPriority w:val="0"/>
    <w:pPr>
      <w:keepNext/>
      <w:keepLines/>
      <w:tabs>
        <w:tab w:val="left" w:pos="0"/>
      </w:tabs>
      <w:spacing w:line="560" w:lineRule="exact"/>
      <w:ind w:firstLine="632" w:firstLineChars="200"/>
      <w:outlineLvl w:val="1"/>
    </w:pPr>
    <w:rPr>
      <w:rFonts w:eastAsia="楷体_GB2312" w:cs="Times New Roman"/>
    </w:rPr>
  </w:style>
  <w:style w:type="paragraph" w:styleId="4">
    <w:name w:val="heading 3"/>
    <w:basedOn w:val="1"/>
    <w:next w:val="1"/>
    <w:link w:val="20"/>
    <w:semiHidden/>
    <w:unhideWhenUsed/>
    <w:qFormat/>
    <w:uiPriority w:val="0"/>
    <w:pPr>
      <w:keepNext/>
      <w:keepLines/>
      <w:tabs>
        <w:tab w:val="left" w:pos="0"/>
      </w:tabs>
      <w:spacing w:line="560" w:lineRule="exact"/>
      <w:ind w:firstLine="632" w:firstLineChars="200"/>
      <w:outlineLvl w:val="2"/>
    </w:p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line="560" w:lineRule="exact"/>
      <w:outlineLvl w:val="3"/>
    </w:pPr>
    <w:rPr>
      <w:rFonts w:ascii="仿宋_GB2312" w:hAnsi="仿宋_GB2312" w:eastAsia="仿宋_GB2312"/>
      <w:sz w:val="32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hAnsi="Arial" w:eastAsia="黑体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qFormat/>
    <w:uiPriority w:val="0"/>
    <w:pPr>
      <w:ind w:firstLine="420" w:firstLineChars="200"/>
    </w:pPr>
    <w:rPr>
      <w:rFonts w:hint="eastAsia" w:ascii="宋体" w:hAnsi="Times New Roman" w:cs="Times New Roman"/>
      <w:szCs w:val="24"/>
    </w:rPr>
  </w:style>
  <w:style w:type="paragraph" w:styleId="12">
    <w:name w:val="Plain Text"/>
    <w:basedOn w:val="1"/>
    <w:qFormat/>
    <w:uiPriority w:val="0"/>
    <w:rPr>
      <w:rFonts w:ascii="宋体" w:hAnsi="Courier New" w:cs="Times New Roman"/>
      <w:szCs w:val="20"/>
    </w:rPr>
  </w:style>
  <w:style w:type="paragraph" w:styleId="13">
    <w:name w:val="Balloon Text"/>
    <w:basedOn w:val="1"/>
    <w:link w:val="24"/>
    <w:qFormat/>
    <w:uiPriority w:val="0"/>
    <w:rPr>
      <w:sz w:val="18"/>
      <w:szCs w:val="18"/>
    </w:rPr>
  </w:style>
  <w:style w:type="paragraph" w:styleId="14">
    <w:name w:val="footer"/>
    <w:basedOn w:val="1"/>
    <w:link w:val="22"/>
    <w:qFormat/>
    <w:uiPriority w:val="0"/>
    <w:pPr>
      <w:tabs>
        <w:tab w:val="center" w:pos="4153"/>
        <w:tab w:val="right" w:pos="8306"/>
      </w:tabs>
      <w:ind w:right="316" w:rightChars="100" w:firstLine="316" w:firstLineChars="100"/>
    </w:pPr>
    <w:rPr>
      <w:rFonts w:ascii="宋体" w:hAnsi="宋体"/>
      <w:sz w:val="28"/>
    </w:rPr>
  </w:style>
  <w:style w:type="paragraph" w:styleId="1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24"/>
      <w:szCs w:val="24"/>
    </w:rPr>
  </w:style>
  <w:style w:type="character" w:customStyle="1" w:styleId="19">
    <w:name w:val="标题 2 字符"/>
    <w:link w:val="3"/>
    <w:qFormat/>
    <w:uiPriority w:val="0"/>
    <w:rPr>
      <w:rFonts w:ascii="Times New Roman" w:hAnsi="Times New Roman" w:eastAsia="楷体_GB2312" w:cs="Times New Roman"/>
    </w:rPr>
  </w:style>
  <w:style w:type="character" w:customStyle="1" w:styleId="20">
    <w:name w:val="标题 3 字符"/>
    <w:link w:val="4"/>
    <w:qFormat/>
    <w:uiPriority w:val="0"/>
    <w:rPr>
      <w:rFonts w:eastAsia="仿宋_GB2312"/>
    </w:rPr>
  </w:style>
  <w:style w:type="paragraph" w:customStyle="1" w:styleId="21">
    <w:name w:val="大标题"/>
    <w:basedOn w:val="1"/>
    <w:next w:val="1"/>
    <w:qFormat/>
    <w:uiPriority w:val="0"/>
    <w:pPr>
      <w:spacing w:line="600" w:lineRule="exact"/>
      <w:jc w:val="center"/>
    </w:pPr>
    <w:rPr>
      <w:rFonts w:ascii="方正小标宋_GBK" w:hAnsi="方正小标宋_GBK" w:eastAsia="方正小标宋_GBK"/>
      <w:sz w:val="44"/>
    </w:rPr>
  </w:style>
  <w:style w:type="character" w:customStyle="1" w:styleId="22">
    <w:name w:val="页脚 字符"/>
    <w:basedOn w:val="18"/>
    <w:link w:val="14"/>
    <w:qFormat/>
    <w:uiPriority w:val="0"/>
    <w:rPr>
      <w:rFonts w:ascii="宋体" w:hAnsi="宋体" w:cs="黑体"/>
      <w:kern w:val="2"/>
      <w:sz w:val="28"/>
      <w:szCs w:val="22"/>
    </w:rPr>
  </w:style>
  <w:style w:type="paragraph" w:customStyle="1" w:styleId="23">
    <w:name w:val="Revision"/>
    <w:hidden/>
    <w:semiHidden/>
    <w:qFormat/>
    <w:uiPriority w:val="99"/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customStyle="1" w:styleId="24">
    <w:name w:val="批注框文本 字符"/>
    <w:basedOn w:val="18"/>
    <w:link w:val="13"/>
    <w:qFormat/>
    <w:uiPriority w:val="0"/>
    <w:rPr>
      <w:rFonts w:ascii="Calibri" w:hAnsi="Calibri" w:cs="黑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1171</Words>
  <Characters>6676</Characters>
  <Lines>55</Lines>
  <Paragraphs>15</Paragraphs>
  <TotalTime>2334</TotalTime>
  <ScaleCrop>false</ScaleCrop>
  <LinksUpToDate>false</LinksUpToDate>
  <CharactersWithSpaces>7832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2021-03-11T15:44:00Z</dcterms:created>
  <dc:creator>Lenovo</dc:creator>
  <cp:lastModifiedBy>user</cp:lastModifiedBy>
  <dcterms:modified xsi:type="dcterms:W3CDTF">2023-04-10T17:01:23Z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873F9E1814664D8393C3485D2C633FA0</vt:lpwstr>
  </property>
</Properties>
</file>