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A53F5" w14:textId="77777777" w:rsidR="00B708D3" w:rsidRDefault="00B708D3" w:rsidP="00B708D3">
      <w:pPr>
        <w:widowControl/>
        <w:ind w:firstLineChars="0" w:firstLine="0"/>
        <w:jc w:val="center"/>
        <w:rPr>
          <w:rFonts w:ascii="方正小标宋_GBK" w:eastAsia="方正小标宋_GBK"/>
          <w:sz w:val="44"/>
          <w:szCs w:val="44"/>
        </w:rPr>
      </w:pPr>
      <w:r w:rsidRPr="00B708D3">
        <w:rPr>
          <w:rFonts w:ascii="方正小标宋_GBK" w:eastAsia="方正小标宋_GBK" w:hint="eastAsia"/>
          <w:sz w:val="44"/>
          <w:szCs w:val="44"/>
        </w:rPr>
        <w:t>关于推动定制型商业医疗保险</w:t>
      </w:r>
    </w:p>
    <w:p w14:paraId="17072FA9" w14:textId="0340A3D8" w:rsidR="00B708D3" w:rsidRPr="00B708D3" w:rsidRDefault="00B708D3" w:rsidP="00B708D3">
      <w:pPr>
        <w:widowControl/>
        <w:ind w:firstLineChars="0" w:firstLine="0"/>
        <w:jc w:val="center"/>
        <w:rPr>
          <w:rFonts w:ascii="方正小标宋_GBK" w:eastAsia="方正小标宋_GBK" w:hint="eastAsia"/>
          <w:sz w:val="44"/>
          <w:szCs w:val="44"/>
        </w:rPr>
      </w:pPr>
      <w:r w:rsidRPr="00B708D3">
        <w:rPr>
          <w:rFonts w:ascii="方正小标宋_GBK" w:eastAsia="方正小标宋_GBK" w:hint="eastAsia"/>
          <w:sz w:val="44"/>
          <w:szCs w:val="44"/>
        </w:rPr>
        <w:t>可持续发展的意见</w:t>
      </w:r>
    </w:p>
    <w:p w14:paraId="34ABB425" w14:textId="77777777" w:rsidR="00B708D3" w:rsidRPr="00B708D3" w:rsidRDefault="00B708D3" w:rsidP="00B708D3">
      <w:pPr>
        <w:widowControl/>
        <w:ind w:firstLineChars="0" w:firstLine="0"/>
        <w:jc w:val="center"/>
        <w:rPr>
          <w:rFonts w:ascii="楷体_GB2312" w:eastAsia="楷体_GB2312" w:hint="eastAsia"/>
        </w:rPr>
      </w:pPr>
      <w:r w:rsidRPr="00B708D3">
        <w:rPr>
          <w:rFonts w:ascii="楷体_GB2312" w:eastAsia="楷体_GB2312" w:hint="eastAsia"/>
        </w:rPr>
        <w:t>鲁</w:t>
      </w:r>
      <w:proofErr w:type="gramStart"/>
      <w:r w:rsidRPr="00B708D3">
        <w:rPr>
          <w:rFonts w:ascii="楷体_GB2312" w:eastAsia="楷体_GB2312" w:hint="eastAsia"/>
        </w:rPr>
        <w:t>医</w:t>
      </w:r>
      <w:proofErr w:type="gramEnd"/>
      <w:r w:rsidRPr="00B708D3">
        <w:rPr>
          <w:rFonts w:ascii="楷体_GB2312" w:eastAsia="楷体_GB2312" w:hint="eastAsia"/>
        </w:rPr>
        <w:t>保发〔2023〕40号</w:t>
      </w:r>
    </w:p>
    <w:p w14:paraId="340CA0DA" w14:textId="77777777" w:rsidR="00B708D3" w:rsidRDefault="00B708D3" w:rsidP="00B708D3">
      <w:pPr>
        <w:widowControl/>
        <w:ind w:firstLineChars="0" w:firstLine="0"/>
        <w:rPr>
          <w:rFonts w:hint="eastAsia"/>
        </w:rPr>
      </w:pPr>
    </w:p>
    <w:p w14:paraId="1678A0D5" w14:textId="77777777" w:rsidR="00B708D3" w:rsidRDefault="00B708D3" w:rsidP="00B708D3">
      <w:pPr>
        <w:widowControl/>
        <w:ind w:firstLineChars="0" w:firstLine="0"/>
      </w:pPr>
      <w:r>
        <w:rPr>
          <w:rFonts w:hint="eastAsia"/>
        </w:rPr>
        <w:t>各市</w:t>
      </w:r>
      <w:proofErr w:type="gramStart"/>
      <w:r>
        <w:rPr>
          <w:rFonts w:hint="eastAsia"/>
        </w:rPr>
        <w:t>医</w:t>
      </w:r>
      <w:proofErr w:type="gramEnd"/>
      <w:r>
        <w:rPr>
          <w:rFonts w:hint="eastAsia"/>
        </w:rPr>
        <w:t>保局、民政局、财政局、乡村振兴局、卫生健康委、国资委，各市税务局，青岛市各区、市税务局，国家金融监督管理总局各市监管分局，各市总工会、妇女联合会、残疾人联合会：</w:t>
      </w:r>
    </w:p>
    <w:p w14:paraId="2C9B6A02" w14:textId="77777777" w:rsidR="00B708D3" w:rsidRDefault="00B708D3" w:rsidP="00B708D3">
      <w:pPr>
        <w:widowControl/>
        <w:ind w:firstLine="632"/>
      </w:pPr>
      <w:r>
        <w:rPr>
          <w:rFonts w:hint="eastAsia"/>
        </w:rPr>
        <w:t>为进一步完善我省多层次医疗保障体系，促进商业医疗保险与基本医疗保险高效协同发展，根据《中共山东省委</w:t>
      </w:r>
      <w:r>
        <w:t xml:space="preserve"> 山东省人民政府贯彻落实&lt;中共中央、国务院关于深化医疗保障制度改革的意见&gt;的实施意见》等文件精神，现就推动定制型商业医疗保险可持续发展，提出如下意见。</w:t>
      </w:r>
    </w:p>
    <w:p w14:paraId="39B92CA9" w14:textId="77777777" w:rsidR="00B708D3" w:rsidRPr="00B708D3" w:rsidRDefault="00B708D3" w:rsidP="00B708D3">
      <w:pPr>
        <w:widowControl/>
        <w:ind w:firstLine="632"/>
        <w:rPr>
          <w:rFonts w:ascii="黑体" w:eastAsia="黑体" w:hAnsi="黑体"/>
        </w:rPr>
      </w:pPr>
      <w:r w:rsidRPr="00B708D3">
        <w:rPr>
          <w:rFonts w:ascii="黑体" w:eastAsia="黑体" w:hAnsi="黑体" w:hint="eastAsia"/>
        </w:rPr>
        <w:t>一、总体要求</w:t>
      </w:r>
    </w:p>
    <w:p w14:paraId="7F8FE84F" w14:textId="77777777" w:rsidR="00B708D3" w:rsidRDefault="00B708D3" w:rsidP="00B708D3">
      <w:pPr>
        <w:widowControl/>
        <w:ind w:firstLine="632"/>
      </w:pPr>
      <w:r>
        <w:rPr>
          <w:rFonts w:hint="eastAsia"/>
        </w:rPr>
        <w:t>以习近平新时代中国特色社会主义思想为指导，认真贯彻落实党的二十大精神，坚持以人民健康为中心，以促进共同富裕为目标，锚定“走在前，开新局”，不断扩大定制型商业医疗保险覆盖面，到</w:t>
      </w:r>
      <w:r>
        <w:t>2025年参加基本医疗保险人员投保率达到30%以上，保险赔付占医疗总费用比例逐步提高。实现投保范围更加广泛、投保年龄更加优化、续保人群更加稳定、产品设计更加科学、资金赔付更加便捷、群众健康保险意识更加强化。建立起政府支持推动、市场机制运作、保费资金稳健运行，与基本医疗保险有效衔接、有益补充的定制型商业医疗保险制度，充分发挥多重保障梯</w:t>
      </w:r>
      <w:r>
        <w:lastRenderedPageBreak/>
        <w:t>次减</w:t>
      </w:r>
      <w:r>
        <w:rPr>
          <w:rFonts w:hint="eastAsia"/>
        </w:rPr>
        <w:t>负功能，增强</w:t>
      </w:r>
      <w:proofErr w:type="gramStart"/>
      <w:r>
        <w:rPr>
          <w:rFonts w:hint="eastAsia"/>
        </w:rPr>
        <w:t>抵御重</w:t>
      </w:r>
      <w:proofErr w:type="gramEnd"/>
      <w:r>
        <w:rPr>
          <w:rFonts w:hint="eastAsia"/>
        </w:rPr>
        <w:t>特大疾病风险的能力，</w:t>
      </w:r>
      <w:proofErr w:type="gramStart"/>
      <w:r>
        <w:rPr>
          <w:rFonts w:hint="eastAsia"/>
        </w:rPr>
        <w:t>防范因</w:t>
      </w:r>
      <w:proofErr w:type="gramEnd"/>
      <w:r>
        <w:rPr>
          <w:rFonts w:hint="eastAsia"/>
        </w:rPr>
        <w:t>病致贫返贫，推进多层次医疗保障体系更加成熟定型，满足人民群众多样化医疗保障需求，实现定制型商业医疗保险可持续发展。</w:t>
      </w:r>
    </w:p>
    <w:p w14:paraId="209D5CE9" w14:textId="77777777" w:rsidR="00B708D3" w:rsidRPr="00B708D3" w:rsidRDefault="00B708D3" w:rsidP="00B708D3">
      <w:pPr>
        <w:widowControl/>
        <w:ind w:firstLine="632"/>
        <w:rPr>
          <w:rFonts w:ascii="黑体" w:eastAsia="黑体" w:hAnsi="黑体"/>
        </w:rPr>
      </w:pPr>
      <w:r w:rsidRPr="00B708D3">
        <w:rPr>
          <w:rFonts w:ascii="黑体" w:eastAsia="黑体" w:hAnsi="黑体" w:hint="eastAsia"/>
        </w:rPr>
        <w:t>二、主要措施</w:t>
      </w:r>
    </w:p>
    <w:p w14:paraId="7A5C2CA5" w14:textId="77777777" w:rsidR="00B708D3" w:rsidRPr="00B708D3" w:rsidRDefault="00B708D3" w:rsidP="00B708D3">
      <w:pPr>
        <w:widowControl/>
        <w:ind w:firstLine="632"/>
        <w:rPr>
          <w:rFonts w:ascii="楷体_GB2312" w:eastAsia="楷体_GB2312" w:hint="eastAsia"/>
        </w:rPr>
      </w:pPr>
      <w:r w:rsidRPr="00B708D3">
        <w:rPr>
          <w:rFonts w:ascii="楷体_GB2312" w:eastAsia="楷体_GB2312" w:hint="eastAsia"/>
        </w:rPr>
        <w:t>（一）扩大投保人员范围</w:t>
      </w:r>
    </w:p>
    <w:p w14:paraId="02FE6979" w14:textId="77777777" w:rsidR="00B708D3" w:rsidRDefault="00B708D3" w:rsidP="00B708D3">
      <w:pPr>
        <w:widowControl/>
        <w:ind w:firstLine="632"/>
      </w:pPr>
      <w:r>
        <w:rPr>
          <w:rFonts w:hint="eastAsia"/>
        </w:rPr>
        <w:t>除本市基本医疗保险参保人员外，对参加了省内其他统筹区基本医疗保险的、在本市工作的单位职工或在校学生，也可投保定制型商业医疗保险；当年的退役军人及新生儿可在参加基本医疗保险时同步投保。</w:t>
      </w:r>
    </w:p>
    <w:p w14:paraId="0CB2EBD2" w14:textId="77777777" w:rsidR="00B708D3" w:rsidRPr="00B708D3" w:rsidRDefault="00B708D3" w:rsidP="00B708D3">
      <w:pPr>
        <w:widowControl/>
        <w:ind w:firstLine="632"/>
        <w:rPr>
          <w:rFonts w:ascii="楷体_GB2312" w:eastAsia="楷体_GB2312" w:hint="eastAsia"/>
        </w:rPr>
      </w:pPr>
      <w:r w:rsidRPr="00B708D3">
        <w:rPr>
          <w:rFonts w:ascii="楷体_GB2312" w:eastAsia="楷体_GB2312" w:hint="eastAsia"/>
        </w:rPr>
        <w:t>（二）优化投保举措</w:t>
      </w:r>
    </w:p>
    <w:p w14:paraId="6FFE36F0" w14:textId="77777777" w:rsidR="00B708D3" w:rsidRDefault="00B708D3" w:rsidP="00B708D3">
      <w:pPr>
        <w:widowControl/>
        <w:ind w:firstLine="634"/>
      </w:pPr>
      <w:r w:rsidRPr="00B708D3">
        <w:rPr>
          <w:b/>
          <w:bCs/>
        </w:rPr>
        <w:t>1.实施投保优惠激励措施。</w:t>
      </w:r>
      <w:r>
        <w:t>对连续投保且未出险人员、以家庭为单位（3人及以上）投保、单位职工团体投保，可依据当地实情探索实施适当降低赔付起付线（包括家庭共享赔付起付线）、提高赔付比例等投保优惠激励。适当降低无既往症年轻人保险费，优化投保年龄结构。鼓励实施父母投保其未成年子女免投保享受待遇机制，助力构建育儿友好型社会。</w:t>
      </w:r>
    </w:p>
    <w:p w14:paraId="25C9BD4D" w14:textId="77777777" w:rsidR="00B708D3" w:rsidRDefault="00B708D3" w:rsidP="00B708D3">
      <w:pPr>
        <w:widowControl/>
        <w:ind w:firstLine="634"/>
      </w:pPr>
      <w:r w:rsidRPr="00B708D3">
        <w:rPr>
          <w:b/>
          <w:bCs/>
        </w:rPr>
        <w:t>2.发挥单位补充医疗保险的协同配合作用。</w:t>
      </w:r>
      <w:r>
        <w:t>企业根据国家政策规定为职工支付的补充医疗保险费，不超过职工工资总额5%标准内的部分可在企业所得税税前扣除。鼓励有条件的市，对机关事业单位团体投保人员通过补充医疗保险资金予以适当资助。提升单位职工</w:t>
      </w:r>
      <w:proofErr w:type="gramStart"/>
      <w:r>
        <w:t>医</w:t>
      </w:r>
      <w:proofErr w:type="gramEnd"/>
      <w:r>
        <w:t>保待遇协同保障水平。</w:t>
      </w:r>
    </w:p>
    <w:p w14:paraId="30943A24" w14:textId="77777777" w:rsidR="00B708D3" w:rsidRDefault="00B708D3" w:rsidP="00B708D3">
      <w:pPr>
        <w:widowControl/>
        <w:ind w:firstLine="634"/>
      </w:pPr>
      <w:r w:rsidRPr="00B708D3">
        <w:rPr>
          <w:b/>
          <w:bCs/>
        </w:rPr>
        <w:lastRenderedPageBreak/>
        <w:t>3.鼓励困难群众投保。</w:t>
      </w:r>
      <w:r>
        <w:t>民政、乡村振兴等部门和工会、妇联、残联等群团组织，要立足部门职责，引导社会力量积极参与，鼓励多渠道筹集资金为困难居民和职工购买定制型商业医疗保险，提高困难群众多层次医疗保障水平。</w:t>
      </w:r>
    </w:p>
    <w:p w14:paraId="7DB9CA3D" w14:textId="77777777" w:rsidR="00B708D3" w:rsidRDefault="00B708D3" w:rsidP="00B708D3">
      <w:pPr>
        <w:widowControl/>
        <w:ind w:firstLine="634"/>
      </w:pPr>
      <w:r w:rsidRPr="00B708D3">
        <w:rPr>
          <w:b/>
          <w:bCs/>
        </w:rPr>
        <w:t>4.提升</w:t>
      </w:r>
      <w:proofErr w:type="gramStart"/>
      <w:r w:rsidRPr="00B708D3">
        <w:rPr>
          <w:b/>
          <w:bCs/>
        </w:rPr>
        <w:t>医</w:t>
      </w:r>
      <w:proofErr w:type="gramEnd"/>
      <w:r w:rsidRPr="00B708D3">
        <w:rPr>
          <w:b/>
          <w:bCs/>
        </w:rPr>
        <w:t>保个人账户支付功能。</w:t>
      </w:r>
      <w:r>
        <w:t>完善</w:t>
      </w:r>
      <w:proofErr w:type="gramStart"/>
      <w:r>
        <w:t>医</w:t>
      </w:r>
      <w:proofErr w:type="gramEnd"/>
      <w:r>
        <w:t>保个人账户家庭共济功能，开通省内跨市为直系亲属（配偶、子女、父母）投保支付服务，建立完善代扣代缴制度，为直系亲属投保提供方便。</w:t>
      </w:r>
    </w:p>
    <w:p w14:paraId="5414BD39" w14:textId="77777777" w:rsidR="00B708D3" w:rsidRPr="00B708D3" w:rsidRDefault="00B708D3" w:rsidP="00B708D3">
      <w:pPr>
        <w:widowControl/>
        <w:ind w:firstLine="632"/>
        <w:rPr>
          <w:rFonts w:ascii="楷体_GB2312" w:eastAsia="楷体_GB2312" w:hint="eastAsia"/>
        </w:rPr>
      </w:pPr>
      <w:r w:rsidRPr="00B708D3">
        <w:rPr>
          <w:rFonts w:ascii="楷体_GB2312" w:eastAsia="楷体_GB2312" w:hint="eastAsia"/>
        </w:rPr>
        <w:t>（三）完善赔付机制</w:t>
      </w:r>
    </w:p>
    <w:p w14:paraId="74A7B001" w14:textId="77777777" w:rsidR="00B708D3" w:rsidRDefault="00B708D3" w:rsidP="00B708D3">
      <w:pPr>
        <w:widowControl/>
        <w:ind w:firstLine="634"/>
      </w:pPr>
      <w:r w:rsidRPr="00B708D3">
        <w:rPr>
          <w:b/>
          <w:bCs/>
        </w:rPr>
        <w:t>1.赔付范围。</w:t>
      </w:r>
      <w:r>
        <w:t>定制型商业医疗保险结算周期原则上应与基本医疗保险保持一致。赔付范围与基本医疗保险、大病保险、医疗救助等有效衔接、功能互补，着重解决重特大疾病个人负担、基本医疗保险报销后个人负担和基本医疗保险目录外医药费用。</w:t>
      </w:r>
    </w:p>
    <w:p w14:paraId="155D7EEA" w14:textId="77777777" w:rsidR="00B708D3" w:rsidRDefault="00B708D3" w:rsidP="00B708D3">
      <w:pPr>
        <w:widowControl/>
        <w:ind w:firstLine="632"/>
      </w:pPr>
      <w:r>
        <w:rPr>
          <w:rFonts w:hint="eastAsia"/>
        </w:rPr>
        <w:t>以下情形不纳入定制型商业医疗保险赔付范围：应当由工伤保险基金支付的；应当由第三人负担的；应当由公共卫生负担的；在境外就医的；滋补保健、整形美容等非医疗用途的药品、诊疗服务项目和医用材料费用；已经由基本医疗保险统筹基金支付的费用；其他不应纳入保障的费用。</w:t>
      </w:r>
    </w:p>
    <w:p w14:paraId="61642431" w14:textId="77777777" w:rsidR="00B708D3" w:rsidRDefault="00B708D3" w:rsidP="00B708D3">
      <w:pPr>
        <w:widowControl/>
        <w:ind w:firstLine="634"/>
      </w:pPr>
      <w:r w:rsidRPr="00B708D3">
        <w:rPr>
          <w:b/>
          <w:bCs/>
        </w:rPr>
        <w:t>2.赔付责任和标准。</w:t>
      </w:r>
      <w:r>
        <w:t>赔付责任主要包括患者住院</w:t>
      </w:r>
      <w:proofErr w:type="gramStart"/>
      <w:r>
        <w:t>医</w:t>
      </w:r>
      <w:proofErr w:type="gramEnd"/>
      <w:r>
        <w:t>保政策范围内个人自付费用；住院</w:t>
      </w:r>
      <w:proofErr w:type="gramStart"/>
      <w:r>
        <w:t>医</w:t>
      </w:r>
      <w:proofErr w:type="gramEnd"/>
      <w:r>
        <w:t>保政策范围</w:t>
      </w:r>
      <w:proofErr w:type="gramStart"/>
      <w:r>
        <w:t>外合理</w:t>
      </w:r>
      <w:proofErr w:type="gramEnd"/>
      <w:r>
        <w:t>的个人自费费用；特定高额药品（特药）及创新药，鼓励有条件的市将获批特许经营的海外特药纳入保障清单；罕见病药品费用（包括相关疾病特殊疗效食品）等。各市可根据投保规模和资金保障能力，将门诊</w:t>
      </w:r>
      <w:proofErr w:type="gramStart"/>
      <w:r>
        <w:lastRenderedPageBreak/>
        <w:t>慢特病个人</w:t>
      </w:r>
      <w:proofErr w:type="gramEnd"/>
      <w:r>
        <w:t>负担费用纳入保障责任；不断优化调整药品、医用耗材和诊疗项目赔付清单，提高综合赔付水平。鼓励有条件的市将住院生育医疗费纳入赔付责任，减轻群众生育负担。</w:t>
      </w:r>
    </w:p>
    <w:p w14:paraId="3445C71F" w14:textId="77777777" w:rsidR="00B708D3" w:rsidRDefault="00B708D3" w:rsidP="00B708D3">
      <w:pPr>
        <w:widowControl/>
        <w:ind w:firstLine="632"/>
      </w:pPr>
      <w:r>
        <w:rPr>
          <w:rFonts w:hint="eastAsia"/>
        </w:rPr>
        <w:t>各市根据经济发展和基本医疗保险、大病保险、医疗救助的保障水平，保费标准及投保人数等因素，合理确定赔付起付线、赔付比例、赔付限额。可按个人负担费用额度分段确定赔付比例，原则上自付费用越高赔付比例越高，既确保保险赔付受众面，又体现对大额费用负担的倾斜。投保率较高、保障支撑能力强的市可以将有关责任赔付起付线合并设置，进一步降低赔付门槛，提高保障水平，使定制型商业医疗保险与基本医疗保险待遇衔接更科学有效，制度适配性更强。</w:t>
      </w:r>
    </w:p>
    <w:p w14:paraId="0DA45F88" w14:textId="77777777" w:rsidR="00B708D3" w:rsidRPr="00B708D3" w:rsidRDefault="00B708D3" w:rsidP="00B708D3">
      <w:pPr>
        <w:widowControl/>
        <w:ind w:firstLine="632"/>
        <w:rPr>
          <w:rFonts w:ascii="楷体_GB2312" w:eastAsia="楷体_GB2312" w:hint="eastAsia"/>
        </w:rPr>
      </w:pPr>
      <w:r w:rsidRPr="00B708D3">
        <w:rPr>
          <w:rFonts w:ascii="楷体_GB2312" w:eastAsia="楷体_GB2312" w:hint="eastAsia"/>
        </w:rPr>
        <w:t>（四）规范承保主体</w:t>
      </w:r>
    </w:p>
    <w:p w14:paraId="4FC151C2" w14:textId="77777777" w:rsidR="00B708D3" w:rsidRDefault="00B708D3" w:rsidP="00B708D3">
      <w:pPr>
        <w:widowControl/>
        <w:ind w:firstLine="632"/>
      </w:pPr>
      <w:r>
        <w:rPr>
          <w:rFonts w:hint="eastAsia"/>
        </w:rPr>
        <w:t>承保机构应符合金融监督管理部门经营商业健康保险的相关规定要求，具备合</w:t>
      </w:r>
      <w:proofErr w:type="gramStart"/>
      <w:r>
        <w:rPr>
          <w:rFonts w:hint="eastAsia"/>
        </w:rPr>
        <w:t>规</w:t>
      </w:r>
      <w:proofErr w:type="gramEnd"/>
      <w:r>
        <w:rPr>
          <w:rFonts w:hint="eastAsia"/>
        </w:rPr>
        <w:t>的经营资质、充足的偿付能力、良好的市场信誉等必备条件，原则上每个市定制型商业医疗保险共保</w:t>
      </w:r>
      <w:proofErr w:type="gramStart"/>
      <w:r>
        <w:rPr>
          <w:rFonts w:hint="eastAsia"/>
        </w:rPr>
        <w:t>体成员</w:t>
      </w:r>
      <w:proofErr w:type="gramEnd"/>
      <w:r>
        <w:rPr>
          <w:rFonts w:hint="eastAsia"/>
        </w:rPr>
        <w:t>不超过</w:t>
      </w:r>
      <w:r>
        <w:t>10家，具体由各市根据当地人口、预期投保规模（或上年度投保规模）、承保机构承办能力及上年度对承保机构考核评价等因素研究确定。优选运营地分支机构网络健全，服务能力强的机构作为主承保机构，确保能够提供优质高效便捷服务。共保体可视情况优选经验丰富的第三</w:t>
      </w:r>
      <w:proofErr w:type="gramStart"/>
      <w:r>
        <w:t>方服务</w:t>
      </w:r>
      <w:proofErr w:type="gramEnd"/>
      <w:r>
        <w:t>平台参与服务，合理确定第三</w:t>
      </w:r>
      <w:proofErr w:type="gramStart"/>
      <w:r>
        <w:t>方服务</w:t>
      </w:r>
      <w:proofErr w:type="gramEnd"/>
      <w:r>
        <w:t>平台服务费用，对于保费收入较高的可按定额确定服务费。</w:t>
      </w:r>
    </w:p>
    <w:p w14:paraId="77BAD810" w14:textId="77777777" w:rsidR="00B708D3" w:rsidRPr="00B708D3" w:rsidRDefault="00B708D3" w:rsidP="00B708D3">
      <w:pPr>
        <w:widowControl/>
        <w:ind w:firstLine="632"/>
        <w:rPr>
          <w:rFonts w:ascii="楷体_GB2312" w:eastAsia="楷体_GB2312" w:hint="eastAsia"/>
        </w:rPr>
      </w:pPr>
      <w:r w:rsidRPr="00B708D3">
        <w:rPr>
          <w:rFonts w:ascii="楷体_GB2312" w:eastAsia="楷体_GB2312" w:hint="eastAsia"/>
        </w:rPr>
        <w:lastRenderedPageBreak/>
        <w:t>（五）加强投保资金管理使用</w:t>
      </w:r>
    </w:p>
    <w:p w14:paraId="51996C5C" w14:textId="77777777" w:rsidR="00B708D3" w:rsidRDefault="00B708D3" w:rsidP="00B708D3">
      <w:pPr>
        <w:widowControl/>
        <w:ind w:firstLine="632"/>
      </w:pPr>
      <w:r>
        <w:rPr>
          <w:rFonts w:hint="eastAsia"/>
        </w:rPr>
        <w:t>定制型商业医疗保险遵循“保本微利、收支平衡”的原则，除必要的运营经费外，筹集资金原则上应全部用于保险赔付，年度赔付率不低于</w:t>
      </w:r>
      <w:r>
        <w:t>80%。年度筹集保费收不抵支时，在下一年度适当调整产品价格或保障方案解决。为促进承保机构健康运营，可以3年为周期进行评估，即在3年周期内平均赔付率要达到上述标准。承保机构应在评估周期内及时调整保障方案，保障投保人员权益长期稳定。</w:t>
      </w:r>
    </w:p>
    <w:p w14:paraId="509850FD" w14:textId="77777777" w:rsidR="00B708D3" w:rsidRPr="00B708D3" w:rsidRDefault="00B708D3" w:rsidP="00B708D3">
      <w:pPr>
        <w:widowControl/>
        <w:ind w:firstLine="632"/>
        <w:rPr>
          <w:rFonts w:ascii="楷体_GB2312" w:eastAsia="楷体_GB2312" w:hint="eastAsia"/>
        </w:rPr>
      </w:pPr>
      <w:r w:rsidRPr="00B708D3">
        <w:rPr>
          <w:rFonts w:ascii="楷体_GB2312" w:eastAsia="楷体_GB2312" w:hint="eastAsia"/>
        </w:rPr>
        <w:t>（六）畅通咨询投诉渠道</w:t>
      </w:r>
    </w:p>
    <w:p w14:paraId="6FBD63B9" w14:textId="77777777" w:rsidR="00B708D3" w:rsidRDefault="00B708D3" w:rsidP="00B708D3">
      <w:pPr>
        <w:widowControl/>
        <w:ind w:firstLine="632"/>
      </w:pPr>
      <w:r>
        <w:rPr>
          <w:rFonts w:hint="eastAsia"/>
        </w:rPr>
        <w:t>承保机构要制定定制型商业医疗保险咨询投诉管理办法，设立咨询投诉岗，有条件的市可统一设立咨询投诉热线及</w:t>
      </w:r>
      <w:proofErr w:type="gramStart"/>
      <w:r>
        <w:rPr>
          <w:rFonts w:hint="eastAsia"/>
        </w:rPr>
        <w:t>微信公众号</w:t>
      </w:r>
      <w:proofErr w:type="gramEnd"/>
      <w:r>
        <w:rPr>
          <w:rFonts w:hint="eastAsia"/>
        </w:rPr>
        <w:t>，通过线下线上多种渠道，确保</w:t>
      </w:r>
      <w:r>
        <w:t>7×24小时及时解答群众咨询和受理赔付需求，保护投保人员权益。要建立健全赔后访问机制，及时进行赔后访问，提升投保人员的获得感和满意度。</w:t>
      </w:r>
    </w:p>
    <w:p w14:paraId="6BAC65FB" w14:textId="77777777" w:rsidR="00B708D3" w:rsidRPr="00B708D3" w:rsidRDefault="00B708D3" w:rsidP="00B708D3">
      <w:pPr>
        <w:widowControl/>
        <w:ind w:firstLine="632"/>
        <w:rPr>
          <w:rFonts w:ascii="楷体_GB2312" w:eastAsia="楷体_GB2312" w:hint="eastAsia"/>
        </w:rPr>
      </w:pPr>
      <w:r w:rsidRPr="00B708D3">
        <w:rPr>
          <w:rFonts w:ascii="楷体_GB2312" w:eastAsia="楷体_GB2312" w:hint="eastAsia"/>
        </w:rPr>
        <w:t>（七）提升经办服务水平</w:t>
      </w:r>
    </w:p>
    <w:p w14:paraId="28AE00B0" w14:textId="77777777" w:rsidR="00B708D3" w:rsidRDefault="00B708D3" w:rsidP="00B708D3">
      <w:pPr>
        <w:widowControl/>
        <w:ind w:firstLine="632"/>
      </w:pPr>
      <w:r>
        <w:rPr>
          <w:rFonts w:hint="eastAsia"/>
        </w:rPr>
        <w:t>提升全省</w:t>
      </w:r>
      <w:proofErr w:type="gramStart"/>
      <w:r>
        <w:rPr>
          <w:rFonts w:hint="eastAsia"/>
        </w:rPr>
        <w:t>医保信息</w:t>
      </w:r>
      <w:proofErr w:type="gramEnd"/>
      <w:r>
        <w:rPr>
          <w:rFonts w:hint="eastAsia"/>
        </w:rPr>
        <w:t>平台功能，在确保个人信息安全的前提下，大力推进跨部门数据共享，加强</w:t>
      </w:r>
      <w:proofErr w:type="gramStart"/>
      <w:r>
        <w:rPr>
          <w:rFonts w:hint="eastAsia"/>
        </w:rPr>
        <w:t>医</w:t>
      </w:r>
      <w:proofErr w:type="gramEnd"/>
      <w:r>
        <w:rPr>
          <w:rFonts w:hint="eastAsia"/>
        </w:rPr>
        <w:t>保与商保信息汇聚共享，</w:t>
      </w:r>
      <w:proofErr w:type="gramStart"/>
      <w:r>
        <w:rPr>
          <w:rFonts w:hint="eastAsia"/>
        </w:rPr>
        <w:t>完善掌办网办服务</w:t>
      </w:r>
      <w:proofErr w:type="gramEnd"/>
      <w:r>
        <w:rPr>
          <w:rFonts w:hint="eastAsia"/>
        </w:rPr>
        <w:t>，提高线上投保运营服务效率。投保人员省内就医赔付实行“</w:t>
      </w:r>
      <w:proofErr w:type="gramStart"/>
      <w:r>
        <w:rPr>
          <w:rFonts w:hint="eastAsia"/>
        </w:rPr>
        <w:t>一</w:t>
      </w:r>
      <w:proofErr w:type="gramEnd"/>
      <w:r>
        <w:rPr>
          <w:rFonts w:hint="eastAsia"/>
        </w:rPr>
        <w:t>窗口、一站式”即时联网服务，保险赔付信息与</w:t>
      </w:r>
      <w:proofErr w:type="gramStart"/>
      <w:r>
        <w:rPr>
          <w:rFonts w:hint="eastAsia"/>
        </w:rPr>
        <w:t>医</w:t>
      </w:r>
      <w:proofErr w:type="gramEnd"/>
      <w:r>
        <w:rPr>
          <w:rFonts w:hint="eastAsia"/>
        </w:rPr>
        <w:t>保结算信息区分清晰，方便查询。各市要优化承保机构支付定点医疗机构的资金流程，可通过预拨</w:t>
      </w:r>
      <w:proofErr w:type="gramStart"/>
      <w:r>
        <w:rPr>
          <w:rFonts w:hint="eastAsia"/>
        </w:rPr>
        <w:t>医</w:t>
      </w:r>
      <w:proofErr w:type="gramEnd"/>
      <w:r>
        <w:rPr>
          <w:rFonts w:hint="eastAsia"/>
        </w:rPr>
        <w:t>保经办机构周转金的方式，由</w:t>
      </w:r>
      <w:proofErr w:type="gramStart"/>
      <w:r>
        <w:rPr>
          <w:rFonts w:hint="eastAsia"/>
        </w:rPr>
        <w:t>医</w:t>
      </w:r>
      <w:proofErr w:type="gramEnd"/>
      <w:r>
        <w:rPr>
          <w:rFonts w:hint="eastAsia"/>
        </w:rPr>
        <w:t>保经办机构统一拨付至定点医疗机构，承保机构与</w:t>
      </w:r>
      <w:proofErr w:type="gramStart"/>
      <w:r>
        <w:rPr>
          <w:rFonts w:hint="eastAsia"/>
        </w:rPr>
        <w:t>医</w:t>
      </w:r>
      <w:proofErr w:type="gramEnd"/>
      <w:r>
        <w:rPr>
          <w:rFonts w:hint="eastAsia"/>
        </w:rPr>
        <w:t>保经办</w:t>
      </w:r>
      <w:r>
        <w:rPr>
          <w:rFonts w:hint="eastAsia"/>
        </w:rPr>
        <w:lastRenderedPageBreak/>
        <w:t>机构定期对账核算，提升定点医疗机构资金拨付效率，减轻个人垫付资金压力。需要线下审核赔付的，要开通快赔服务，于</w:t>
      </w:r>
      <w:r>
        <w:t>7个工作日内完</w:t>
      </w:r>
      <w:r>
        <w:rPr>
          <w:rFonts w:hint="eastAsia"/>
        </w:rPr>
        <w:t>成受理赔付。</w:t>
      </w:r>
    </w:p>
    <w:p w14:paraId="2C513496" w14:textId="77777777" w:rsidR="00B708D3" w:rsidRPr="00B708D3" w:rsidRDefault="00B708D3" w:rsidP="00B708D3">
      <w:pPr>
        <w:widowControl/>
        <w:ind w:firstLine="632"/>
        <w:rPr>
          <w:rFonts w:ascii="楷体_GB2312" w:eastAsia="楷体_GB2312" w:hint="eastAsia"/>
        </w:rPr>
      </w:pPr>
      <w:r w:rsidRPr="00B708D3">
        <w:rPr>
          <w:rFonts w:ascii="楷体_GB2312" w:eastAsia="楷体_GB2312" w:hint="eastAsia"/>
        </w:rPr>
        <w:t>（八）创新增值服务</w:t>
      </w:r>
    </w:p>
    <w:p w14:paraId="3DBB6703" w14:textId="77777777" w:rsidR="00B708D3" w:rsidRDefault="00B708D3" w:rsidP="00B708D3">
      <w:pPr>
        <w:widowControl/>
        <w:ind w:firstLine="632"/>
      </w:pPr>
      <w:r>
        <w:rPr>
          <w:rFonts w:hint="eastAsia"/>
        </w:rPr>
        <w:t>承保机构要持续提升服务水平，不断创新增值服务，增强群众获得感。增值服务包括但不限于健康查体、口腔保健、线上问诊、健康自测、重疾早筛、导</w:t>
      </w:r>
      <w:proofErr w:type="gramStart"/>
      <w:r>
        <w:rPr>
          <w:rFonts w:hint="eastAsia"/>
        </w:rPr>
        <w:t>医</w:t>
      </w:r>
      <w:proofErr w:type="gramEnd"/>
      <w:r>
        <w:rPr>
          <w:rFonts w:hint="eastAsia"/>
        </w:rPr>
        <w:t>服务、上门护理、健康咨询等健康管理服务。鼓励承保机构不断拓展延伸服务内容，开发贴近群众生活、具有本地人</w:t>
      </w:r>
      <w:proofErr w:type="gramStart"/>
      <w:r>
        <w:rPr>
          <w:rFonts w:hint="eastAsia"/>
        </w:rPr>
        <w:t>文特色</w:t>
      </w:r>
      <w:proofErr w:type="gramEnd"/>
      <w:r>
        <w:rPr>
          <w:rFonts w:hint="eastAsia"/>
        </w:rPr>
        <w:t>的增值服务产品，打造山东定制型商业医疗保险服务品牌。</w:t>
      </w:r>
    </w:p>
    <w:p w14:paraId="14341A5E" w14:textId="77777777" w:rsidR="00B708D3" w:rsidRPr="00B708D3" w:rsidRDefault="00B708D3" w:rsidP="00B708D3">
      <w:pPr>
        <w:widowControl/>
        <w:ind w:firstLine="632"/>
        <w:rPr>
          <w:rFonts w:ascii="黑体" w:eastAsia="黑体" w:hAnsi="黑体"/>
        </w:rPr>
      </w:pPr>
      <w:r w:rsidRPr="00B708D3">
        <w:rPr>
          <w:rFonts w:ascii="黑体" w:eastAsia="黑体" w:hAnsi="黑体" w:hint="eastAsia"/>
        </w:rPr>
        <w:t>三、工作要求</w:t>
      </w:r>
    </w:p>
    <w:p w14:paraId="2BAFEE2E" w14:textId="77777777" w:rsidR="00B708D3" w:rsidRDefault="00B708D3" w:rsidP="00B708D3">
      <w:pPr>
        <w:widowControl/>
        <w:ind w:firstLine="632"/>
      </w:pPr>
      <w:r w:rsidRPr="00B708D3">
        <w:rPr>
          <w:rFonts w:ascii="楷体_GB2312" w:eastAsia="楷体_GB2312" w:hint="eastAsia"/>
        </w:rPr>
        <w:t>（一）加强组织领导。</w:t>
      </w:r>
      <w:r>
        <w:rPr>
          <w:rFonts w:hint="eastAsia"/>
        </w:rPr>
        <w:t>各级、各部门要进一步统一思想、提高认识，加强对定制型商业医疗保险工作的指导支持，建立健全评估评价体系和定期通报制度，夯实责任，确保投保率、续保率、赔付率稳步上升。</w:t>
      </w:r>
    </w:p>
    <w:p w14:paraId="20EF7BAF" w14:textId="77777777" w:rsidR="00B708D3" w:rsidRDefault="00B708D3" w:rsidP="00B708D3">
      <w:pPr>
        <w:widowControl/>
        <w:ind w:firstLine="632"/>
      </w:pPr>
      <w:r w:rsidRPr="00B708D3">
        <w:rPr>
          <w:rFonts w:ascii="楷体_GB2312" w:eastAsia="楷体_GB2312" w:hint="eastAsia"/>
        </w:rPr>
        <w:t>（二）明确责任分工。</w:t>
      </w:r>
      <w:r>
        <w:rPr>
          <w:rFonts w:hint="eastAsia"/>
        </w:rPr>
        <w:t>定制型商业医疗保险是一款政府指导下的</w:t>
      </w:r>
      <w:proofErr w:type="gramStart"/>
      <w:r>
        <w:rPr>
          <w:rFonts w:hint="eastAsia"/>
        </w:rPr>
        <w:t>普惠型保险</w:t>
      </w:r>
      <w:proofErr w:type="gramEnd"/>
      <w:r>
        <w:rPr>
          <w:rFonts w:hint="eastAsia"/>
        </w:rPr>
        <w:t>产品，各相关部门要明确分工，落实责任。</w:t>
      </w:r>
      <w:proofErr w:type="gramStart"/>
      <w:r>
        <w:rPr>
          <w:rFonts w:hint="eastAsia"/>
        </w:rPr>
        <w:t>医</w:t>
      </w:r>
      <w:proofErr w:type="gramEnd"/>
      <w:r>
        <w:rPr>
          <w:rFonts w:hint="eastAsia"/>
        </w:rPr>
        <w:t>保部门要指导做好政策制定和方案优化，支持信息系统开发对接，加强运行分析和评估评价。卫生健康部门要不断规范医疗机构诊疗行为，做好医疗服务管理工作。国资部门要指导企业积极做好宣传推介，倡导企业团体投保。税务部门要落实企业补充医疗保险税前扣除企业所得税政策。金融监督管理部门要做好备案管理，</w:t>
      </w:r>
      <w:r>
        <w:rPr>
          <w:rFonts w:hint="eastAsia"/>
        </w:rPr>
        <w:lastRenderedPageBreak/>
        <w:t>加强定制型商业医疗保险监管。民政、财政、乡村振兴、工会、妇联、残联等有关部门要做好配合支持工作。承保机构要加强成本核算，不断完善产品开发方案，按程序审核备案，定期向金融监督管理部门和</w:t>
      </w:r>
      <w:proofErr w:type="gramStart"/>
      <w:r>
        <w:rPr>
          <w:rFonts w:hint="eastAsia"/>
        </w:rPr>
        <w:t>医保</w:t>
      </w:r>
      <w:proofErr w:type="gramEnd"/>
      <w:r>
        <w:rPr>
          <w:rFonts w:hint="eastAsia"/>
        </w:rPr>
        <w:t>部门报送运营报告，并向社会公布上年度运营赔付情况。</w:t>
      </w:r>
    </w:p>
    <w:p w14:paraId="2E00D2DA" w14:textId="77777777" w:rsidR="00B708D3" w:rsidRDefault="00B708D3" w:rsidP="00B708D3">
      <w:pPr>
        <w:widowControl/>
        <w:ind w:firstLine="632"/>
      </w:pPr>
      <w:r w:rsidRPr="00B708D3">
        <w:rPr>
          <w:rFonts w:ascii="楷体_GB2312" w:eastAsia="楷体_GB2312" w:hint="eastAsia"/>
        </w:rPr>
        <w:t>（三）注重宣传引导。</w:t>
      </w:r>
      <w:r>
        <w:rPr>
          <w:rFonts w:hint="eastAsia"/>
        </w:rPr>
        <w:t>各市要加强宣传和舆论引导，运用典型案例，采用喜闻乐见、通俗易懂的方式，通过各类宣传渠道，发挥承保机构自身网点、银行服务网点、基层</w:t>
      </w:r>
      <w:proofErr w:type="gramStart"/>
      <w:r>
        <w:rPr>
          <w:rFonts w:hint="eastAsia"/>
        </w:rPr>
        <w:t>医</w:t>
      </w:r>
      <w:proofErr w:type="gramEnd"/>
      <w:r>
        <w:rPr>
          <w:rFonts w:hint="eastAsia"/>
        </w:rPr>
        <w:t>保服务站点及社区网格等作用，广泛宣传普及定制型商业医疗保险政策，增强“人人为我，我为人人”的保险意识，共同营造良好社会氛围。同时，各市要建立健全风险防控机制，做好舆情信息监测，加强应急处置，有效防范和化解工作中遇到的问题。</w:t>
      </w:r>
    </w:p>
    <w:p w14:paraId="4CB4F460" w14:textId="77777777" w:rsidR="00B708D3" w:rsidRDefault="00B708D3" w:rsidP="00B708D3">
      <w:pPr>
        <w:widowControl/>
        <w:ind w:firstLineChars="0" w:firstLine="0"/>
      </w:pPr>
    </w:p>
    <w:p w14:paraId="550FE1B0" w14:textId="77777777" w:rsidR="00B708D3" w:rsidRDefault="00B708D3" w:rsidP="00B708D3">
      <w:pPr>
        <w:widowControl/>
        <w:ind w:firstLineChars="0" w:firstLine="0"/>
        <w:jc w:val="right"/>
      </w:pPr>
      <w:r>
        <w:rPr>
          <w:rFonts w:hint="eastAsia"/>
        </w:rPr>
        <w:t>山东省医疗保障局</w:t>
      </w:r>
    </w:p>
    <w:p w14:paraId="2D4F7823" w14:textId="77777777" w:rsidR="00B708D3" w:rsidRDefault="00B708D3" w:rsidP="00B708D3">
      <w:pPr>
        <w:widowControl/>
        <w:ind w:firstLineChars="0" w:firstLine="0"/>
        <w:jc w:val="right"/>
      </w:pPr>
      <w:r>
        <w:rPr>
          <w:rFonts w:hint="eastAsia"/>
        </w:rPr>
        <w:t>山东省民政厅</w:t>
      </w:r>
    </w:p>
    <w:p w14:paraId="663F54E5" w14:textId="77777777" w:rsidR="00B708D3" w:rsidRDefault="00B708D3" w:rsidP="00B708D3">
      <w:pPr>
        <w:widowControl/>
        <w:ind w:firstLineChars="0" w:firstLine="0"/>
        <w:jc w:val="right"/>
      </w:pPr>
      <w:r>
        <w:rPr>
          <w:rFonts w:hint="eastAsia"/>
        </w:rPr>
        <w:t>山东省财政厅</w:t>
      </w:r>
    </w:p>
    <w:p w14:paraId="34156C20" w14:textId="77777777" w:rsidR="00B708D3" w:rsidRDefault="00B708D3" w:rsidP="00B708D3">
      <w:pPr>
        <w:widowControl/>
        <w:ind w:firstLineChars="0" w:firstLine="0"/>
        <w:jc w:val="right"/>
      </w:pPr>
      <w:r>
        <w:rPr>
          <w:rFonts w:hint="eastAsia"/>
        </w:rPr>
        <w:t>山东省乡村振兴局</w:t>
      </w:r>
    </w:p>
    <w:p w14:paraId="57F82AE3" w14:textId="77777777" w:rsidR="00B708D3" w:rsidRDefault="00B708D3" w:rsidP="00B708D3">
      <w:pPr>
        <w:widowControl/>
        <w:ind w:firstLineChars="0" w:firstLine="0"/>
        <w:jc w:val="right"/>
      </w:pPr>
      <w:r>
        <w:rPr>
          <w:rFonts w:hint="eastAsia"/>
        </w:rPr>
        <w:t>山东省卫生健康委员会</w:t>
      </w:r>
    </w:p>
    <w:p w14:paraId="0DB7AFFA" w14:textId="77777777" w:rsidR="00B708D3" w:rsidRDefault="00B708D3" w:rsidP="00B708D3">
      <w:pPr>
        <w:widowControl/>
        <w:ind w:firstLineChars="0" w:firstLine="0"/>
        <w:jc w:val="right"/>
      </w:pPr>
      <w:r>
        <w:rPr>
          <w:rFonts w:hint="eastAsia"/>
        </w:rPr>
        <w:t>山东省人民政府国有资产监督管理委员会</w:t>
      </w:r>
    </w:p>
    <w:p w14:paraId="645CF739" w14:textId="77777777" w:rsidR="00B708D3" w:rsidRDefault="00B708D3" w:rsidP="00B708D3">
      <w:pPr>
        <w:widowControl/>
        <w:ind w:firstLineChars="0" w:firstLine="0"/>
        <w:jc w:val="right"/>
      </w:pPr>
      <w:r>
        <w:rPr>
          <w:rFonts w:hint="eastAsia"/>
        </w:rPr>
        <w:t>国家税务总局山东省税务局</w:t>
      </w:r>
    </w:p>
    <w:p w14:paraId="5A3CEB52" w14:textId="77777777" w:rsidR="00B708D3" w:rsidRDefault="00B708D3" w:rsidP="00B708D3">
      <w:pPr>
        <w:widowControl/>
        <w:ind w:firstLineChars="0" w:firstLine="0"/>
        <w:jc w:val="right"/>
      </w:pPr>
      <w:r>
        <w:rPr>
          <w:rFonts w:hint="eastAsia"/>
        </w:rPr>
        <w:t>国家税务总局青岛市税务局</w:t>
      </w:r>
    </w:p>
    <w:p w14:paraId="5647F21C" w14:textId="7CD386D8" w:rsidR="00B708D3" w:rsidRDefault="00B708D3" w:rsidP="00B708D3">
      <w:pPr>
        <w:widowControl/>
        <w:ind w:firstLineChars="0" w:firstLine="0"/>
        <w:jc w:val="right"/>
      </w:pPr>
      <w:r>
        <w:t>国家金融监督管理总局山东监管局</w:t>
      </w:r>
    </w:p>
    <w:p w14:paraId="61C6276A" w14:textId="77777777" w:rsidR="00B708D3" w:rsidRDefault="00B708D3" w:rsidP="00B708D3">
      <w:pPr>
        <w:widowControl/>
        <w:ind w:firstLineChars="0" w:firstLine="0"/>
        <w:jc w:val="right"/>
      </w:pPr>
      <w:r>
        <w:rPr>
          <w:rFonts w:hint="eastAsia"/>
        </w:rPr>
        <w:lastRenderedPageBreak/>
        <w:t>国家金融监督管理总局青岛监管局</w:t>
      </w:r>
    </w:p>
    <w:p w14:paraId="65BD1A5B" w14:textId="77777777" w:rsidR="00B708D3" w:rsidRDefault="00B708D3" w:rsidP="00B708D3">
      <w:pPr>
        <w:widowControl/>
        <w:ind w:firstLineChars="0" w:firstLine="0"/>
        <w:jc w:val="right"/>
      </w:pPr>
      <w:r>
        <w:rPr>
          <w:rFonts w:hint="eastAsia"/>
        </w:rPr>
        <w:t>山东省总工会</w:t>
      </w:r>
    </w:p>
    <w:p w14:paraId="4B458126" w14:textId="77777777" w:rsidR="00B708D3" w:rsidRDefault="00B708D3" w:rsidP="00B708D3">
      <w:pPr>
        <w:widowControl/>
        <w:ind w:firstLineChars="0" w:firstLine="0"/>
        <w:jc w:val="right"/>
      </w:pPr>
      <w:r>
        <w:rPr>
          <w:rFonts w:hint="eastAsia"/>
        </w:rPr>
        <w:t>山东省妇女联合会</w:t>
      </w:r>
    </w:p>
    <w:p w14:paraId="5CC5F76B" w14:textId="77777777" w:rsidR="00B708D3" w:rsidRDefault="00B708D3" w:rsidP="00B708D3">
      <w:pPr>
        <w:widowControl/>
        <w:ind w:firstLineChars="0" w:firstLine="0"/>
        <w:jc w:val="right"/>
      </w:pPr>
      <w:r>
        <w:rPr>
          <w:rFonts w:hint="eastAsia"/>
        </w:rPr>
        <w:t>山东省残疾人联合会</w:t>
      </w:r>
    </w:p>
    <w:p w14:paraId="6DA68C0A" w14:textId="09437B08" w:rsidR="00F419A4" w:rsidRDefault="00B708D3" w:rsidP="00B708D3">
      <w:pPr>
        <w:widowControl/>
        <w:ind w:firstLineChars="0" w:firstLine="0"/>
        <w:jc w:val="right"/>
      </w:pPr>
      <w:r>
        <w:t>2023年10月13日</w:t>
      </w:r>
    </w:p>
    <w:sectPr w:rsidR="00F419A4" w:rsidSect="00213C18">
      <w:headerReference w:type="even" r:id="rId6"/>
      <w:headerReference w:type="default" r:id="rId7"/>
      <w:footerReference w:type="even" r:id="rId8"/>
      <w:footerReference w:type="default" r:id="rId9"/>
      <w:headerReference w:type="first" r:id="rId10"/>
      <w:footerReference w:type="first" r:id="rId11"/>
      <w:pgSz w:w="11906" w:h="16838" w:code="9"/>
      <w:pgMar w:top="2098" w:right="1474" w:bottom="1985" w:left="1588" w:header="851" w:footer="992" w:gutter="0"/>
      <w:pgNumType w:fmt="numberInDash"/>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0368C" w14:textId="77777777" w:rsidR="00213C18" w:rsidRDefault="00213C18" w:rsidP="00743000">
      <w:pPr>
        <w:spacing w:line="240" w:lineRule="auto"/>
        <w:ind w:firstLine="640"/>
      </w:pPr>
      <w:r>
        <w:separator/>
      </w:r>
    </w:p>
  </w:endnote>
  <w:endnote w:type="continuationSeparator" w:id="0">
    <w:p w14:paraId="46747C98" w14:textId="77777777" w:rsidR="00213C18" w:rsidRDefault="00213C18" w:rsidP="00743000">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5041956"/>
      <w:docPartObj>
        <w:docPartGallery w:val="Page Numbers (Bottom of Page)"/>
        <w:docPartUnique/>
      </w:docPartObj>
    </w:sdtPr>
    <w:sdtEndPr>
      <w:rPr>
        <w:rFonts w:ascii="宋体" w:eastAsia="宋体" w:hAnsi="宋体"/>
        <w:sz w:val="28"/>
        <w:szCs w:val="28"/>
      </w:rPr>
    </w:sdtEndPr>
    <w:sdtContent>
      <w:p w14:paraId="3BB0314F" w14:textId="77777777" w:rsidR="00743000" w:rsidRPr="00743000" w:rsidRDefault="00743000">
        <w:pPr>
          <w:pStyle w:val="a7"/>
          <w:ind w:firstLine="360"/>
          <w:rPr>
            <w:rFonts w:ascii="宋体" w:eastAsia="宋体" w:hAnsi="宋体"/>
            <w:sz w:val="28"/>
            <w:szCs w:val="28"/>
          </w:rPr>
        </w:pPr>
        <w:r w:rsidRPr="00743000">
          <w:rPr>
            <w:rFonts w:ascii="宋体" w:eastAsia="宋体" w:hAnsi="宋体"/>
            <w:sz w:val="28"/>
            <w:szCs w:val="28"/>
          </w:rPr>
          <w:fldChar w:fldCharType="begin"/>
        </w:r>
        <w:r w:rsidRPr="00743000">
          <w:rPr>
            <w:rFonts w:ascii="宋体" w:eastAsia="宋体" w:hAnsi="宋体"/>
            <w:sz w:val="28"/>
            <w:szCs w:val="28"/>
          </w:rPr>
          <w:instrText>PAGE   \* MERGEFORMAT</w:instrText>
        </w:r>
        <w:r w:rsidRPr="00743000">
          <w:rPr>
            <w:rFonts w:ascii="宋体" w:eastAsia="宋体" w:hAnsi="宋体"/>
            <w:sz w:val="28"/>
            <w:szCs w:val="28"/>
          </w:rPr>
          <w:fldChar w:fldCharType="separate"/>
        </w:r>
        <w:r w:rsidRPr="00743000">
          <w:rPr>
            <w:rFonts w:ascii="宋体" w:eastAsia="宋体" w:hAnsi="宋体"/>
            <w:sz w:val="28"/>
            <w:szCs w:val="28"/>
            <w:lang w:val="zh-CN"/>
          </w:rPr>
          <w:t>2</w:t>
        </w:r>
        <w:r w:rsidRPr="00743000">
          <w:rPr>
            <w:rFonts w:ascii="宋体" w:eastAsia="宋体" w:hAnsi="宋体"/>
            <w:sz w:val="28"/>
            <w:szCs w:val="28"/>
          </w:rPr>
          <w:fldChar w:fldCharType="end"/>
        </w:r>
      </w:p>
    </w:sdtContent>
  </w:sdt>
  <w:p w14:paraId="71607C56" w14:textId="77777777" w:rsidR="00743000" w:rsidRDefault="00743000">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6182054"/>
      <w:docPartObj>
        <w:docPartGallery w:val="Page Numbers (Bottom of Page)"/>
        <w:docPartUnique/>
      </w:docPartObj>
    </w:sdtPr>
    <w:sdtEndPr>
      <w:rPr>
        <w:rFonts w:ascii="宋体" w:eastAsia="宋体" w:hAnsi="宋体"/>
        <w:sz w:val="28"/>
        <w:szCs w:val="28"/>
      </w:rPr>
    </w:sdtEndPr>
    <w:sdtContent>
      <w:p w14:paraId="0ED56221" w14:textId="77777777" w:rsidR="00743000" w:rsidRPr="00743000" w:rsidRDefault="00743000">
        <w:pPr>
          <w:pStyle w:val="a7"/>
          <w:ind w:firstLine="360"/>
          <w:jc w:val="right"/>
          <w:rPr>
            <w:rFonts w:ascii="宋体" w:eastAsia="宋体" w:hAnsi="宋体"/>
            <w:sz w:val="28"/>
            <w:szCs w:val="28"/>
          </w:rPr>
        </w:pPr>
        <w:r w:rsidRPr="00743000">
          <w:rPr>
            <w:rFonts w:ascii="宋体" w:eastAsia="宋体" w:hAnsi="宋体"/>
            <w:sz w:val="28"/>
            <w:szCs w:val="28"/>
          </w:rPr>
          <w:fldChar w:fldCharType="begin"/>
        </w:r>
        <w:r w:rsidRPr="00743000">
          <w:rPr>
            <w:rFonts w:ascii="宋体" w:eastAsia="宋体" w:hAnsi="宋体"/>
            <w:sz w:val="28"/>
            <w:szCs w:val="28"/>
          </w:rPr>
          <w:instrText>PAGE   \* MERGEFORMAT</w:instrText>
        </w:r>
        <w:r w:rsidRPr="00743000">
          <w:rPr>
            <w:rFonts w:ascii="宋体" w:eastAsia="宋体" w:hAnsi="宋体"/>
            <w:sz w:val="28"/>
            <w:szCs w:val="28"/>
          </w:rPr>
          <w:fldChar w:fldCharType="separate"/>
        </w:r>
        <w:r w:rsidRPr="00743000">
          <w:rPr>
            <w:rFonts w:ascii="宋体" w:eastAsia="宋体" w:hAnsi="宋体"/>
            <w:sz w:val="28"/>
            <w:szCs w:val="28"/>
            <w:lang w:val="zh-CN"/>
          </w:rPr>
          <w:t>2</w:t>
        </w:r>
        <w:r w:rsidRPr="00743000">
          <w:rPr>
            <w:rFonts w:ascii="宋体" w:eastAsia="宋体" w:hAnsi="宋体"/>
            <w:sz w:val="28"/>
            <w:szCs w:val="28"/>
          </w:rPr>
          <w:fldChar w:fldCharType="end"/>
        </w:r>
      </w:p>
    </w:sdtContent>
  </w:sdt>
  <w:p w14:paraId="2B223BCB" w14:textId="77777777" w:rsidR="00743000" w:rsidRDefault="00743000">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9C6C5" w14:textId="77777777" w:rsidR="00743000" w:rsidRDefault="00743000">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2A493" w14:textId="77777777" w:rsidR="00213C18" w:rsidRDefault="00213C18" w:rsidP="00743000">
      <w:pPr>
        <w:spacing w:line="240" w:lineRule="auto"/>
        <w:ind w:firstLine="640"/>
      </w:pPr>
      <w:r>
        <w:separator/>
      </w:r>
    </w:p>
  </w:footnote>
  <w:footnote w:type="continuationSeparator" w:id="0">
    <w:p w14:paraId="4D2DC58B" w14:textId="77777777" w:rsidR="00213C18" w:rsidRDefault="00213C18" w:rsidP="00743000">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75551" w14:textId="77777777" w:rsidR="00743000" w:rsidRPr="00743000" w:rsidRDefault="00743000" w:rsidP="00743000">
    <w:pPr>
      <w:ind w:firstLine="6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4A96A" w14:textId="77777777" w:rsidR="00743000" w:rsidRPr="00743000" w:rsidRDefault="00743000" w:rsidP="00743000">
    <w:pPr>
      <w:ind w:firstLine="6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1F7AB" w14:textId="77777777" w:rsidR="00743000" w:rsidRDefault="00743000">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evenAndOddHeaders/>
  <w:drawingGridHorizontalSpacing w:val="158"/>
  <w:drawingGridVerticalSpacing w:val="57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29"/>
    <w:rsid w:val="00213C18"/>
    <w:rsid w:val="002821FA"/>
    <w:rsid w:val="003478D2"/>
    <w:rsid w:val="00743000"/>
    <w:rsid w:val="009949B2"/>
    <w:rsid w:val="00AC2029"/>
    <w:rsid w:val="00B708D3"/>
    <w:rsid w:val="00EF68FC"/>
    <w:rsid w:val="00F41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2ACF2"/>
  <w15:chartTrackingRefBased/>
  <w15:docId w15:val="{15956EC6-EA08-4DA6-A934-57E219A0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FC"/>
    <w:pPr>
      <w:widowControl w:val="0"/>
      <w:spacing w:line="560" w:lineRule="exact"/>
      <w:ind w:firstLineChars="200" w:firstLine="200"/>
      <w:jc w:val="both"/>
    </w:pPr>
    <w:rPr>
      <w:rFonts w:ascii="仿宋_GB2312" w:eastAsia="仿宋_GB2312" w:hAnsi="仿宋_GB2312" w:cs="仿宋_GB2312"/>
      <w:sz w:val="32"/>
      <w:szCs w:val="32"/>
    </w:rPr>
  </w:style>
  <w:style w:type="paragraph" w:styleId="1">
    <w:name w:val="heading 1"/>
    <w:basedOn w:val="a"/>
    <w:next w:val="a"/>
    <w:link w:val="10"/>
    <w:uiPriority w:val="9"/>
    <w:qFormat/>
    <w:rsid w:val="009949B2"/>
    <w:pPr>
      <w:keepNext/>
      <w:keepLines/>
      <w:ind w:firstLineChars="0" w:firstLine="0"/>
      <w:jc w:val="center"/>
      <w:outlineLvl w:val="0"/>
    </w:pPr>
    <w:rPr>
      <w:rFonts w:eastAsia="方正小标宋_GBK"/>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949B2"/>
    <w:rPr>
      <w:rFonts w:eastAsia="方正小标宋_GBK"/>
      <w:b/>
      <w:bCs/>
      <w:kern w:val="44"/>
      <w:sz w:val="44"/>
      <w:szCs w:val="44"/>
    </w:rPr>
  </w:style>
  <w:style w:type="paragraph" w:customStyle="1" w:styleId="a3">
    <w:name w:val="大标题"/>
    <w:basedOn w:val="a"/>
    <w:next w:val="a"/>
    <w:link w:val="a4"/>
    <w:qFormat/>
    <w:rsid w:val="009949B2"/>
    <w:pPr>
      <w:ind w:firstLineChars="0" w:firstLine="0"/>
      <w:jc w:val="center"/>
    </w:pPr>
    <w:rPr>
      <w:rFonts w:eastAsia="方正小标宋_GBK"/>
      <w:sz w:val="44"/>
    </w:rPr>
  </w:style>
  <w:style w:type="character" w:customStyle="1" w:styleId="a4">
    <w:name w:val="大标题 字符"/>
    <w:basedOn w:val="a0"/>
    <w:link w:val="a3"/>
    <w:rsid w:val="009949B2"/>
    <w:rPr>
      <w:rFonts w:eastAsia="方正小标宋_GBK"/>
      <w:sz w:val="44"/>
    </w:rPr>
  </w:style>
  <w:style w:type="paragraph" w:styleId="a5">
    <w:name w:val="header"/>
    <w:basedOn w:val="a"/>
    <w:link w:val="a6"/>
    <w:uiPriority w:val="99"/>
    <w:unhideWhenUsed/>
    <w:rsid w:val="0074300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6">
    <w:name w:val="页眉 字符"/>
    <w:basedOn w:val="a0"/>
    <w:link w:val="a5"/>
    <w:uiPriority w:val="99"/>
    <w:rsid w:val="00743000"/>
    <w:rPr>
      <w:rFonts w:eastAsia="仿宋_GB2312"/>
      <w:sz w:val="18"/>
      <w:szCs w:val="18"/>
    </w:rPr>
  </w:style>
  <w:style w:type="paragraph" w:styleId="a7">
    <w:name w:val="footer"/>
    <w:basedOn w:val="a"/>
    <w:link w:val="a8"/>
    <w:uiPriority w:val="99"/>
    <w:unhideWhenUsed/>
    <w:rsid w:val="00743000"/>
    <w:pPr>
      <w:tabs>
        <w:tab w:val="center" w:pos="4153"/>
        <w:tab w:val="right" w:pos="8306"/>
      </w:tabs>
      <w:snapToGrid w:val="0"/>
      <w:spacing w:line="240" w:lineRule="atLeast"/>
      <w:jc w:val="left"/>
    </w:pPr>
    <w:rPr>
      <w:sz w:val="18"/>
      <w:szCs w:val="18"/>
    </w:rPr>
  </w:style>
  <w:style w:type="character" w:customStyle="1" w:styleId="a8">
    <w:name w:val="页脚 字符"/>
    <w:basedOn w:val="a0"/>
    <w:link w:val="a7"/>
    <w:uiPriority w:val="99"/>
    <w:rsid w:val="00743000"/>
    <w:rPr>
      <w:rFonts w:eastAsia="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V</dc:creator>
  <cp:keywords/>
  <dc:description/>
  <cp:lastModifiedBy>LI V</cp:lastModifiedBy>
  <cp:revision>2</cp:revision>
  <dcterms:created xsi:type="dcterms:W3CDTF">2024-04-30T09:09:00Z</dcterms:created>
  <dcterms:modified xsi:type="dcterms:W3CDTF">2024-04-30T09:13:00Z</dcterms:modified>
</cp:coreProperties>
</file>