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附件1</w:t>
      </w:r>
    </w:p>
    <w:p>
      <w:pPr>
        <w:pStyle w:val="2"/>
        <w:keepNext w:val="0"/>
        <w:keepLines w:val="0"/>
        <w:pageBreakBefore w:val="0"/>
        <w:widowControl w:val="0"/>
        <w:kinsoku/>
        <w:wordWrap/>
        <w:overflowPunct/>
        <w:topLinePunct w:val="0"/>
        <w:autoSpaceDE/>
        <w:autoSpaceDN/>
        <w:bidi w:val="0"/>
        <w:adjustRightInd/>
        <w:snapToGrid/>
        <w:spacing w:before="160" w:beforeLines="50" w:after="160" w:afterLines="50" w:line="560" w:lineRule="exact"/>
        <w:jc w:val="center"/>
        <w:textAlignment w:val="auto"/>
      </w:pPr>
      <w:r>
        <w:rPr>
          <w:rFonts w:hint="eastAsia" w:ascii="方正小标宋_GBK" w:hAnsi="Calibri" w:eastAsia="方正小标宋_GBK" w:cs="Times New Roman"/>
          <w:color w:val="auto"/>
          <w:kern w:val="2"/>
          <w:sz w:val="44"/>
          <w:szCs w:val="44"/>
          <w:lang w:val="en-US" w:eastAsia="zh-CN" w:bidi="ar-SA"/>
        </w:rPr>
        <w:t>青岛市公立医疗机构辅助生殖类医疗服务项目价格</w:t>
      </w:r>
    </w:p>
    <w:tbl>
      <w:tblPr>
        <w:tblStyle w:val="13"/>
        <w:tblW w:w="15653" w:type="dxa"/>
        <w:tblInd w:w="-77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5"/>
        <w:gridCol w:w="1155"/>
        <w:gridCol w:w="1110"/>
        <w:gridCol w:w="4125"/>
        <w:gridCol w:w="1231"/>
        <w:gridCol w:w="795"/>
        <w:gridCol w:w="690"/>
        <w:gridCol w:w="3052"/>
        <w:gridCol w:w="1125"/>
        <w:gridCol w:w="1140"/>
        <w:gridCol w:w="7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318" w:hRule="atLeast"/>
        </w:trPr>
        <w:tc>
          <w:tcPr>
            <w:tcW w:w="49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default" w:ascii="黑体" w:hAnsi="黑体" w:eastAsia="黑体" w:cs="黑体"/>
                <w:sz w:val="18"/>
                <w:szCs w:val="18"/>
                <w:lang w:val="en-US" w:eastAsia="zh-CN"/>
              </w:rPr>
              <w:t>序号</w:t>
            </w:r>
          </w:p>
        </w:tc>
        <w:tc>
          <w:tcPr>
            <w:tcW w:w="115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r>
              <w:rPr>
                <w:rFonts w:hint="default" w:ascii="黑体" w:hAnsi="黑体" w:eastAsia="黑体" w:cs="黑体"/>
                <w:sz w:val="18"/>
                <w:szCs w:val="18"/>
                <w:lang w:val="en-US" w:eastAsia="zh-CN"/>
              </w:rPr>
              <w:t>项目编码</w:t>
            </w:r>
          </w:p>
        </w:tc>
        <w:tc>
          <w:tcPr>
            <w:tcW w:w="111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r>
              <w:rPr>
                <w:rFonts w:hint="default" w:ascii="黑体" w:hAnsi="黑体" w:eastAsia="黑体" w:cs="黑体"/>
                <w:sz w:val="18"/>
                <w:szCs w:val="18"/>
                <w:lang w:val="en-US" w:eastAsia="zh-CN"/>
              </w:rPr>
              <w:t>项目名称</w:t>
            </w:r>
          </w:p>
        </w:tc>
        <w:tc>
          <w:tcPr>
            <w:tcW w:w="412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r>
              <w:rPr>
                <w:rFonts w:hint="default" w:ascii="黑体" w:hAnsi="黑体" w:eastAsia="黑体" w:cs="黑体"/>
                <w:sz w:val="18"/>
                <w:szCs w:val="18"/>
                <w:lang w:val="en-US" w:eastAsia="zh-CN"/>
              </w:rPr>
              <w:t>项目内涵</w:t>
            </w:r>
          </w:p>
        </w:tc>
        <w:tc>
          <w:tcPr>
            <w:tcW w:w="123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r>
              <w:rPr>
                <w:rFonts w:hint="default" w:ascii="黑体" w:hAnsi="黑体" w:eastAsia="黑体" w:cs="黑体"/>
                <w:sz w:val="18"/>
                <w:szCs w:val="18"/>
                <w:lang w:val="en-US" w:eastAsia="zh-CN"/>
              </w:rPr>
              <w:t>除外</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r>
              <w:rPr>
                <w:rFonts w:hint="default" w:ascii="黑体" w:hAnsi="黑体" w:eastAsia="黑体" w:cs="黑体"/>
                <w:sz w:val="18"/>
                <w:szCs w:val="18"/>
                <w:lang w:val="en-US" w:eastAsia="zh-CN"/>
              </w:rPr>
              <w:t>内容</w:t>
            </w:r>
          </w:p>
        </w:tc>
        <w:tc>
          <w:tcPr>
            <w:tcW w:w="79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r>
              <w:rPr>
                <w:rFonts w:hint="default" w:ascii="黑体" w:hAnsi="黑体" w:eastAsia="黑体" w:cs="黑体"/>
                <w:sz w:val="18"/>
                <w:szCs w:val="18"/>
                <w:lang w:val="en-US" w:eastAsia="zh-CN"/>
              </w:rPr>
              <w:t>计价</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r>
              <w:rPr>
                <w:rFonts w:hint="default" w:ascii="黑体" w:hAnsi="黑体" w:eastAsia="黑体" w:cs="黑体"/>
                <w:sz w:val="18"/>
                <w:szCs w:val="18"/>
                <w:lang w:val="en-US" w:eastAsia="zh-CN"/>
              </w:rPr>
              <w:t>单位</w:t>
            </w:r>
          </w:p>
        </w:tc>
        <w:tc>
          <w:tcPr>
            <w:tcW w:w="69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三级</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r>
              <w:rPr>
                <w:rFonts w:hint="default" w:ascii="黑体" w:hAnsi="黑体" w:eastAsia="黑体" w:cs="黑体"/>
                <w:sz w:val="18"/>
                <w:szCs w:val="18"/>
                <w:lang w:val="en-US" w:eastAsia="zh-CN"/>
              </w:rPr>
              <w:t>价格</w:t>
            </w:r>
          </w:p>
        </w:tc>
        <w:tc>
          <w:tcPr>
            <w:tcW w:w="3052"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r>
              <w:rPr>
                <w:rFonts w:hint="default" w:ascii="黑体" w:hAnsi="黑体" w:eastAsia="黑体" w:cs="黑体"/>
                <w:sz w:val="18"/>
                <w:szCs w:val="18"/>
                <w:lang w:val="en-US" w:eastAsia="zh-CN"/>
              </w:rPr>
              <w:t>说明</w:t>
            </w:r>
          </w:p>
        </w:tc>
        <w:tc>
          <w:tcPr>
            <w:tcW w:w="300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统筹金支付范围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717" w:hRule="atLeast"/>
        </w:trPr>
        <w:tc>
          <w:tcPr>
            <w:tcW w:w="49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p>
        </w:tc>
        <w:tc>
          <w:tcPr>
            <w:tcW w:w="115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p>
        </w:tc>
        <w:tc>
          <w:tcPr>
            <w:tcW w:w="111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p>
        </w:tc>
        <w:tc>
          <w:tcPr>
            <w:tcW w:w="412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p>
        </w:tc>
        <w:tc>
          <w:tcPr>
            <w:tcW w:w="123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p>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p>
        </w:tc>
        <w:tc>
          <w:tcPr>
            <w:tcW w:w="6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p>
        </w:tc>
        <w:tc>
          <w:tcPr>
            <w:tcW w:w="305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黑体" w:eastAsia="黑体" w:cs="黑体"/>
                <w:sz w:val="18"/>
                <w:szCs w:val="18"/>
                <w:lang w:val="en-US" w:eastAsia="zh-CN"/>
              </w:rPr>
            </w:pP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职工进统筹前自付比例</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居民进统筹前自付比例</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最高费用限额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18"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331306001</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取卵术</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通过临床技术操作获得卵母细胞。所定价格涵盖穿刺、取卵、卵泡冲洗、计数、评估过程中的人力资源和基本物质消耗（不包含超声引导）。</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取卵针</w:t>
            </w: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1620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获卵数量超过15个加收20%。（不得与脉冲自动注射促排卵检查、B超下卵巢囊肿穿刺术同时计费）</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27"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311201040</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胚胎培养</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在培养箱中将精卵采取体外结合形式进行培养。所定价格涵盖受精、培养、观察、评估等获得胚胎过程中的人力资源和基本物质消耗。</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精子来源</w:t>
            </w: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3600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囊胚培养按50%收费</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91"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311201062</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组织/体液/细胞冷冻（辅助生殖）</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将辅助生殖相关组织、体液、细胞进行冷冻。所定价格涵盖将辅助生殖相关组织、体液、细胞转移至冷冻载体，冷冻及解冻复苏过程中的人力资源和基本物质消耗。</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价格含冷冻当天起保存2个月的费用，不足2月按2月计费。冻存结束前只收取一次。</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13"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311201062a</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组织/体液/细胞冷冻续存（辅助生殖）</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将冷冻后的辅助生殖相关组织、体液、细胞持续冻存。所定价格涵盖将冷冻后的辅助生殖相关组织、体液、细胞持续冻存至解冻复苏前或约定截止保存时间，期间的人力资源和基本物质消耗。</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管·月</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125</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冷冻后保存超过2月的，按每管每月（管·月）收取续存费用，不足1月按1月计费；不得重复收取“组织/体液/细胞冷冻（辅助生殖）”费用。</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cs="宋体"/>
                <w:i w:val="0"/>
                <w:color w:val="000000"/>
                <w:sz w:val="18"/>
                <w:szCs w:val="18"/>
                <w:u w:val="none"/>
                <w:lang w:val="en-US" w:eastAsia="zh-CN"/>
              </w:rPr>
              <w:t>10</w:t>
            </w:r>
            <w:r>
              <w:rPr>
                <w:rFonts w:hint="eastAsia" w:ascii="宋体" w:hAnsi="宋体" w:eastAsia="宋体" w:cs="宋体"/>
                <w:i w:val="0"/>
                <w:color w:val="000000"/>
                <w:sz w:val="18"/>
                <w:szCs w:val="18"/>
                <w:u w:val="none"/>
                <w:lang w:val="en-US" w:eastAsia="zh-CN"/>
              </w:rPr>
              <w:t>0%</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cs="宋体"/>
                <w:i w:val="0"/>
                <w:color w:val="000000"/>
                <w:sz w:val="18"/>
                <w:szCs w:val="18"/>
                <w:u w:val="none"/>
                <w:lang w:val="en-US" w:eastAsia="zh-CN"/>
              </w:rPr>
              <w:t>10</w:t>
            </w:r>
            <w:r>
              <w:rPr>
                <w:rFonts w:hint="eastAsia" w:ascii="宋体" w:hAnsi="宋体" w:eastAsia="宋体" w:cs="宋体"/>
                <w:i w:val="0"/>
                <w:color w:val="000000"/>
                <w:sz w:val="18"/>
                <w:szCs w:val="18"/>
                <w:u w:val="none"/>
                <w:lang w:val="en-US" w:eastAsia="zh-CN"/>
              </w:rPr>
              <w:t>0%</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06"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311201041</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胚胎移植</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将胚胎或囊胚移送至患者宫腔内。所定价格涵盖胚胎评估、移送至患者宫腔内过程中所需的人力资源和基本物质消耗。包含胚子移植。</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胚胎移植管</w:t>
            </w: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冻融胚胎（或囊胚）移植加收900元。</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57"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311201059</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未成熟卵体外成熟培养</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将通过临床操作获取的未成熟卵进行体外培养。所定价格涵盖未成熟卵处理、培养、观察、评估、激活过程中所需的人力资源和基本物质消耗。</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81"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311201060</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胚胎辅助孵化</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将胚胎通过物理或化学的方法，将透明带制造一处缺损或裂隙，提高着床成功率。所定价格涵盖筛选、调试、透明带处理、记录过程中所需的人力资源和基本物质消耗。</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31"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311201082</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组织、细胞活检（辅助生殖）</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在囊胚/卵裂期胚胎/卵母细胞等辅助生殖相关的组织、细胞上分离出检测标本。所定价格涵盖通过筛选、评估、透明带处理，吸取分离标本过程中所需的人力资源和基本物质消耗。</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每个胚胎（卵）</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从第3个胚胎（卵）起，每个按50%收费；最高不超过6600元。</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773" w:hRule="atLeast"/>
        </w:trPr>
        <w:tc>
          <w:tcPr>
            <w:tcW w:w="49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311201045</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人工授精</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通过临床操作将精液注入患者宫腔内。所定价格涵盖精液注入、观察等过程中所需的人力资源和基本物质消耗。</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精子来源</w:t>
            </w: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720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56" w:hRule="atLeast"/>
        </w:trPr>
        <w:tc>
          <w:tcPr>
            <w:tcW w:w="49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311201045a</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阴道内人工授精</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严格核对夫妻双方相关信息，通过将液化后的新鲜精液（夫源）或复苏后的精液（供精）转移至女性阴道穹窿处。所定价格涵盖精液转移、观察等过程所需的人力资源。不含精液冷冻复苏。</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精子来源</w:t>
            </w: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780"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311100019</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精子优选处理</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通过实验室手段从精液中筛选优质精子。所定价格涵盖精液采集、分析、处理、筛选、评估过程中所需的人力资源和基本物质消耗。</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45"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311100007</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取精术</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通过手术方式获取精子。所定价格涵盖穿刺或切开、分离、获取精子评估过程中的人力资源和基本物质消耗。</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810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显微镜下操作加收2000元。不得与睾丸阴茎海绵体活检术同时计费。</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28" w:hRule="atLeast"/>
        </w:trPr>
        <w:tc>
          <w:tcPr>
            <w:tcW w:w="4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311201042</w:t>
            </w:r>
          </w:p>
        </w:tc>
        <w:tc>
          <w:tcPr>
            <w:tcW w:w="11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单精子注射</w:t>
            </w:r>
          </w:p>
        </w:tc>
        <w:tc>
          <w:tcPr>
            <w:tcW w:w="4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将优选处理后精子注射进卵母细胞，促进形成胚胎。所定价格涵盖将精子制动、吸入，注入卵母细胞胞浆等过程中的人力资源和基本物质资源消耗。</w:t>
            </w:r>
          </w:p>
        </w:tc>
        <w:tc>
          <w:tcPr>
            <w:tcW w:w="123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2700</w:t>
            </w:r>
          </w:p>
        </w:tc>
        <w:tc>
          <w:tcPr>
            <w:tcW w:w="30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卵子激活加收800元。注射卵子数量大于20枚的，加收20%</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25%</w:t>
            </w:r>
          </w:p>
        </w:tc>
        <w:tc>
          <w:tcPr>
            <w:tcW w:w="7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312" w:hRule="exact"/>
        </w:trPr>
        <w:tc>
          <w:tcPr>
            <w:tcW w:w="15653" w:type="dxa"/>
            <w:gridSpan w:val="11"/>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说明：1.本表所指组织/体液/细胞，主要指卵母细胞（极体）、胚胎、囊胚、精液、精子等与辅助生殖相关。</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2.本表所称“项目内涵”，指医疗机构提供医疗服务时，用于确定计价单元的边界，不应作为临床技术标准理解，不是手术实际操作方式、路径、步骤、程序的强制性要求。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本表项目内涵中所称“基本物耗”指原则上限于不应或不必要与医疗服务项目分割的易耗品，包括但不限于各类消杀用品、储存用品、清洁用品、个人防护用品、垃圾处理用品、培养液、冷冻保护液、冷冻液、解冻液、辅助生殖用液、试管、载杆载体辅助生殖器皿及装置、冲洗液、润滑剂、灌洗液、棉球、棉签、纱布（垫）、护垫、衬垫、手术巾（单）、治疗巾（单）、治疗护理盘(包）、注射器、滑石粉、防渗漏垫、标签、可复用的操作器具、冲洗工具。基本物耗成本计入项目价格，不另行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本表内“组织/体液/细胞冷冻（或冷冻续存）”项目中，“解冻复苏”指卵母细胞（极体）、精液、精子等与辅助生殖相关的解冻复苏，不包含胚胎、囊胚的解冻操作；“管”指包括但不限于用于装载辅助生殖组织、体液或细胞所需的试管、载杆等载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5.本表所列“取精术”加收项“显微镜下操作”指在显微镜下完成切开睾丸/附睾获取精子的操作过程。</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6.项目内涵中所列“穿刺”为主项操作涉及的必要穿刺技术。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7.项目编码已经存在的现有项目，按本表内容执行。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60"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60"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60"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60"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60"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60"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60"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60"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60"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60"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312" w:hRule="atLeast"/>
        </w:trPr>
        <w:tc>
          <w:tcPr>
            <w:tcW w:w="15653" w:type="dxa"/>
            <w:gridSpan w:val="11"/>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r>
    </w:tbl>
    <w:p>
      <w:pPr>
        <w:keepNext w:val="0"/>
        <w:keepLines w:val="0"/>
        <w:pageBreakBefore w:val="0"/>
        <w:kinsoku/>
        <w:wordWrap/>
        <w:overflowPunct/>
        <w:topLinePunct w:val="0"/>
        <w:autoSpaceDE/>
        <w:autoSpaceDN/>
        <w:bidi w:val="0"/>
        <w:adjustRightInd/>
        <w:snapToGrid/>
        <w:spacing w:line="240" w:lineRule="exact"/>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rPr>
          <w:rFonts w:hint="eastAsia" w:ascii="黑体" w:hAnsi="黑体" w:eastAsia="黑体" w:cs="黑体"/>
          <w:sz w:val="32"/>
          <w:szCs w:val="32"/>
        </w:rPr>
        <w:sectPr>
          <w:footerReference r:id="rId3" w:type="default"/>
          <w:pgSz w:w="16838" w:h="11906" w:orient="landscape"/>
          <w:pgMar w:top="1417" w:right="1474" w:bottom="1474" w:left="1474" w:header="851" w:footer="992" w:gutter="0"/>
          <w:cols w:space="720" w:num="1"/>
          <w:docGrid w:type="lines" w:linePitch="317"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pPr>
        <w:pStyle w:val="2"/>
        <w:keepNext w:val="0"/>
        <w:keepLines w:val="0"/>
        <w:pageBreakBefore w:val="0"/>
        <w:widowControl w:val="0"/>
        <w:kinsoku/>
        <w:wordWrap/>
        <w:overflowPunct/>
        <w:topLinePunct w:val="0"/>
        <w:autoSpaceDE/>
        <w:autoSpaceDN/>
        <w:bidi w:val="0"/>
        <w:adjustRightInd/>
        <w:snapToGrid/>
        <w:spacing w:before="160" w:beforeLines="50" w:after="160" w:afterLines="50" w:line="560" w:lineRule="exact"/>
        <w:jc w:val="center"/>
        <w:textAlignment w:val="auto"/>
      </w:pPr>
      <w:r>
        <w:rPr>
          <w:rFonts w:hint="eastAsia" w:ascii="方正小标宋_GBK" w:hAnsi="Calibri" w:eastAsia="方正小标宋_GBK" w:cs="Times New Roman"/>
          <w:color w:val="auto"/>
          <w:kern w:val="2"/>
          <w:sz w:val="44"/>
          <w:szCs w:val="44"/>
          <w:lang w:val="en-US" w:eastAsia="zh-CN" w:bidi="ar-SA"/>
        </w:rPr>
        <w:t>青岛市公立医疗机构动态调整部分医疗服务项目价格</w:t>
      </w:r>
    </w:p>
    <w:tbl>
      <w:tblPr>
        <w:tblStyle w:val="13"/>
        <w:tblW w:w="15615" w:type="dxa"/>
        <w:tblInd w:w="-7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5"/>
        <w:gridCol w:w="1140"/>
        <w:gridCol w:w="1297"/>
        <w:gridCol w:w="4853"/>
        <w:gridCol w:w="630"/>
        <w:gridCol w:w="720"/>
        <w:gridCol w:w="690"/>
        <w:gridCol w:w="690"/>
        <w:gridCol w:w="705"/>
        <w:gridCol w:w="1245"/>
        <w:gridCol w:w="976"/>
        <w:gridCol w:w="985"/>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黑体" w:hAnsi="黑体" w:eastAsia="黑体" w:cs="黑体"/>
                <w:sz w:val="18"/>
                <w:szCs w:val="18"/>
                <w:lang w:val="en-US" w:eastAsia="zh-CN"/>
              </w:rPr>
              <w:t>序号</w:t>
            </w:r>
          </w:p>
        </w:tc>
        <w:tc>
          <w:tcPr>
            <w:tcW w:w="114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项目编码</w:t>
            </w:r>
          </w:p>
        </w:tc>
        <w:tc>
          <w:tcPr>
            <w:tcW w:w="1297" w:type="dxa"/>
            <w:vMerge w:val="restart"/>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项目名称</w:t>
            </w:r>
          </w:p>
        </w:tc>
        <w:tc>
          <w:tcPr>
            <w:tcW w:w="4853"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项目内涵</w:t>
            </w:r>
          </w:p>
        </w:tc>
        <w:tc>
          <w:tcPr>
            <w:tcW w:w="63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除外</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内容</w:t>
            </w:r>
          </w:p>
        </w:tc>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计价单位</w:t>
            </w:r>
          </w:p>
        </w:tc>
        <w:tc>
          <w:tcPr>
            <w:tcW w:w="208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价格</w:t>
            </w:r>
          </w:p>
        </w:tc>
        <w:tc>
          <w:tcPr>
            <w:tcW w:w="124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说明</w:t>
            </w:r>
          </w:p>
        </w:tc>
        <w:tc>
          <w:tcPr>
            <w:tcW w:w="3180"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统筹金支付范围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37"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18"/>
                <w:szCs w:val="18"/>
                <w:u w:val="none"/>
              </w:rPr>
            </w:pPr>
          </w:p>
        </w:tc>
        <w:tc>
          <w:tcPr>
            <w:tcW w:w="114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p>
        </w:tc>
        <w:tc>
          <w:tcPr>
            <w:tcW w:w="1297" w:type="dxa"/>
            <w:vMerge w:val="continue"/>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p>
        </w:tc>
        <w:tc>
          <w:tcPr>
            <w:tcW w:w="485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p>
        </w:tc>
        <w:tc>
          <w:tcPr>
            <w:tcW w:w="63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p>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三级</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二级</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一级</w:t>
            </w:r>
          </w:p>
        </w:tc>
        <w:tc>
          <w:tcPr>
            <w:tcW w:w="124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职工进统筹前自付比例</w:t>
            </w:r>
          </w:p>
        </w:tc>
        <w:tc>
          <w:tcPr>
            <w:tcW w:w="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居民进统筹前自付比例</w:t>
            </w: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最高费用</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5615" w:type="dxa"/>
            <w:gridSpan w:val="1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增加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88"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270700009</w:t>
            </w:r>
          </w:p>
        </w:tc>
        <w:tc>
          <w:tcPr>
            <w:tcW w:w="12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组织/细胞核酸（DNA/RNA）高通量测序</w:t>
            </w:r>
          </w:p>
        </w:tc>
        <w:tc>
          <w:tcPr>
            <w:tcW w:w="48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甲醛固定组织、石蜡包埋组织、新鲜或冷冻组织、血液，离心收集细胞；组织粉萃机匀浆化，组织裂解，经反复离心及相应化学试剂去除蛋白，回收DNA/RNA，检测核酸质量，进行文库构建。质控合格后，使用高通量测序仪对各基因状态进行测序，测序数据利用数据分析系统进行生物信息分析，出具报告。含上述技术过程中产生的废液、废物的处理。</w:t>
            </w:r>
          </w:p>
        </w:tc>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2个</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基因</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91"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2</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270700009a</w:t>
            </w:r>
          </w:p>
        </w:tc>
        <w:tc>
          <w:tcPr>
            <w:tcW w:w="12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染色体高通量测序分析（CNV）</w:t>
            </w:r>
          </w:p>
        </w:tc>
        <w:tc>
          <w:tcPr>
            <w:tcW w:w="48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2"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3</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331303023</w:t>
            </w:r>
          </w:p>
        </w:tc>
        <w:tc>
          <w:tcPr>
            <w:tcW w:w="12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子宫悬吊术</w:t>
            </w:r>
          </w:p>
        </w:tc>
        <w:tc>
          <w:tcPr>
            <w:tcW w:w="48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包括阴道吊带术、阴道残端悬吊术、前盆(后盆)悬吊术</w:t>
            </w:r>
          </w:p>
        </w:tc>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吊带</w:t>
            </w: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经腹腔镜加收,全盆悬吊加收390元</w:t>
            </w: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三级1280元，二级1020元,一级816元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7"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4</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331400017</w:t>
            </w:r>
          </w:p>
        </w:tc>
        <w:tc>
          <w:tcPr>
            <w:tcW w:w="12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选择性减胎术</w:t>
            </w:r>
          </w:p>
        </w:tc>
        <w:tc>
          <w:tcPr>
            <w:tcW w:w="48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自主定价</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自主定价</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自主定价</w:t>
            </w: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auto"/>
                <w:sz w:val="18"/>
                <w:szCs w:val="18"/>
                <w:u w:val="none"/>
              </w:rPr>
            </w:pP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0%</w:t>
            </w:r>
          </w:p>
        </w:tc>
        <w:tc>
          <w:tcPr>
            <w:tcW w:w="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0%</w:t>
            </w: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highlight w:val="none"/>
                <w:u w:val="none"/>
                <w:shd w:val="clear" w:color="auto" w:fill="auto"/>
                <w:lang w:val="en-US" w:eastAsia="zh-CN" w:bidi="ar"/>
              </w:rPr>
              <w:t>限生育保险支付。三级1450元，二级760元，一级608元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4"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331512018</w:t>
            </w:r>
          </w:p>
        </w:tc>
        <w:tc>
          <w:tcPr>
            <w:tcW w:w="12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胫骨延长术</w:t>
            </w:r>
          </w:p>
        </w:tc>
        <w:tc>
          <w:tcPr>
            <w:tcW w:w="48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包括胫骨横向骨搬移</w:t>
            </w:r>
          </w:p>
        </w:tc>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3500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2800</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2240</w:t>
            </w: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auto"/>
                <w:sz w:val="18"/>
                <w:szCs w:val="18"/>
                <w:u w:val="none"/>
              </w:rPr>
            </w:pP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0%</w:t>
            </w:r>
          </w:p>
        </w:tc>
        <w:tc>
          <w:tcPr>
            <w:tcW w:w="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0%</w:t>
            </w: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auto"/>
                <w:kern w:val="0"/>
                <w:sz w:val="18"/>
                <w:szCs w:val="18"/>
                <w:highlight w:val="none"/>
                <w:u w:val="none"/>
                <w:shd w:val="clear" w:color="auto" w:fill="auto"/>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6" w:hRule="atLeast"/>
        </w:trPr>
        <w:tc>
          <w:tcPr>
            <w:tcW w:w="15615" w:type="dxa"/>
            <w:gridSpan w:val="1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736"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6</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311100006</w:t>
            </w:r>
          </w:p>
        </w:tc>
        <w:tc>
          <w:tcPr>
            <w:tcW w:w="12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睾丸阴茎海绵体活检术</w:t>
            </w:r>
          </w:p>
        </w:tc>
        <w:tc>
          <w:tcPr>
            <w:tcW w:w="48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包括穿刺、切开</w:t>
            </w:r>
          </w:p>
        </w:tc>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auto"/>
                <w:sz w:val="18"/>
                <w:szCs w:val="18"/>
                <w:u w:val="none"/>
                <w:lang w:val="en-US"/>
              </w:rPr>
            </w:pPr>
            <w:r>
              <w:rPr>
                <w:rFonts w:hint="eastAsia" w:ascii="宋体" w:hAnsi="宋体" w:eastAsia="宋体" w:cs="宋体"/>
                <w:i w:val="0"/>
                <w:color w:val="auto"/>
                <w:kern w:val="0"/>
                <w:sz w:val="18"/>
                <w:szCs w:val="18"/>
                <w:u w:val="none"/>
                <w:lang w:val="en-US" w:eastAsia="zh-CN" w:bidi="ar"/>
              </w:rPr>
              <w:t>150</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auto"/>
                <w:sz w:val="18"/>
                <w:szCs w:val="18"/>
                <w:u w:val="none"/>
                <w:lang w:val="en-US"/>
              </w:rPr>
            </w:pPr>
            <w:r>
              <w:rPr>
                <w:rFonts w:hint="eastAsia" w:ascii="宋体" w:hAnsi="宋体" w:eastAsia="宋体" w:cs="宋体"/>
                <w:i w:val="0"/>
                <w:color w:val="auto"/>
                <w:kern w:val="0"/>
                <w:sz w:val="18"/>
                <w:szCs w:val="18"/>
                <w:u w:val="none"/>
                <w:lang w:val="en-US" w:eastAsia="zh-CN" w:bidi="ar"/>
              </w:rPr>
              <w:t>150</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auto"/>
                <w:sz w:val="18"/>
                <w:szCs w:val="18"/>
                <w:u w:val="none"/>
                <w:lang w:val="en-US"/>
              </w:rPr>
            </w:pPr>
            <w:r>
              <w:rPr>
                <w:rFonts w:hint="eastAsia" w:ascii="宋体" w:hAnsi="宋体" w:eastAsia="宋体" w:cs="宋体"/>
                <w:i w:val="0"/>
                <w:color w:val="auto"/>
                <w:kern w:val="0"/>
                <w:sz w:val="18"/>
                <w:szCs w:val="18"/>
                <w:u w:val="none"/>
                <w:lang w:val="en-US" w:eastAsia="zh-CN" w:bidi="ar"/>
              </w:rPr>
              <w:t>150</w:t>
            </w: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auto"/>
                <w:sz w:val="18"/>
                <w:szCs w:val="18"/>
                <w:u w:val="none"/>
              </w:rPr>
            </w:pP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0%</w:t>
            </w:r>
          </w:p>
        </w:tc>
        <w:tc>
          <w:tcPr>
            <w:tcW w:w="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0%</w:t>
            </w: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6" w:hRule="atLeast"/>
        </w:trPr>
        <w:tc>
          <w:tcPr>
            <w:tcW w:w="4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7</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HX674303</w:t>
            </w:r>
          </w:p>
        </w:tc>
        <w:tc>
          <w:tcPr>
            <w:tcW w:w="129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肢体骨与软组织肿瘤切除骨关节重建软组织修复术</w:t>
            </w:r>
          </w:p>
        </w:tc>
        <w:tc>
          <w:tcPr>
            <w:tcW w:w="48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麻醉，消毒，根据四肢肿瘤位置选择体位，对范围超过大关节或累及多个骨骼的巨大肿瘤选择纵向直或弧形切口，必要时可行多个联合切口。如有原活检伤口需一并切除，在肿瘤周围正常组织内分离显露，切断肿瘤周围附着的肌肉、韧带。病变适当位置开窗，行病灶内刮除，清除病变，骨性残腔用磨钻去除骨嵴并用物理化学方法灭活，沿病灶包膜周围边缘切除所有受累的骨与软组织，扩大切除完整肿瘤及周围1-3厘米正常组织，或自关节外进行扩大切除，完整切除肿瘤累及的关节和多个骨骼及周围1-3厘米正常组织。对于瘤段切除后的骨关节缺损，采用人工关节假体和/或异体骨段移植、灭活再植进行重建。首先扩大骨髓腔、冲洗、注入骨水泥、固定重建物，处理对侧关节面，关节复位。或对于存在病理骨折或病灶清除后骨强度受损的，选择适当的内固定器械牢固固定，重建骨骼稳定性。对肿瘤切除后存在软组织缺损的进行重建，取用自体韧带组织或人工韧带(补片)修复韧带并将其固定于骨重建物的适当位置以发挥肌肉功能，另在局部取适当大小带蒂肌皮瓣转移覆盖软组织缺损，如仍有表皮缺损，可取自体游离皮片移植覆盖。如恶性肿瘤侵犯血管神经，则需做相应切除修复。止血，逐层缝合伤口。用生理盐水3000毫升冲洗。不含X线引导、导航。</w:t>
            </w:r>
          </w:p>
        </w:tc>
        <w:tc>
          <w:tcPr>
            <w:tcW w:w="6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内固定材料，修补材料，人工关节，人工韧带，止血材料，骨水泥</w:t>
            </w:r>
          </w:p>
        </w:tc>
        <w:tc>
          <w:tcPr>
            <w:tcW w:w="72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次</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4644</w:t>
            </w:r>
          </w:p>
        </w:tc>
        <w:tc>
          <w:tcPr>
            <w:tcW w:w="6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3388</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auto"/>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auto"/>
                <w:sz w:val="18"/>
                <w:szCs w:val="18"/>
                <w:u w:val="none"/>
              </w:rPr>
            </w:pPr>
          </w:p>
        </w:tc>
        <w:tc>
          <w:tcPr>
            <w:tcW w:w="97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0%</w:t>
            </w:r>
          </w:p>
        </w:tc>
        <w:tc>
          <w:tcPr>
            <w:tcW w:w="9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0%</w:t>
            </w: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auto"/>
                <w:sz w:val="18"/>
                <w:szCs w:val="18"/>
                <w:u w:val="none"/>
              </w:rPr>
            </w:pPr>
          </w:p>
        </w:tc>
      </w:tr>
    </w:tbl>
    <w:p>
      <w:pPr>
        <w:pStyle w:val="2"/>
        <w:keepNext w:val="0"/>
        <w:keepLines w:val="0"/>
        <w:pageBreakBefore w:val="0"/>
        <w:kinsoku/>
        <w:wordWrap/>
        <w:overflowPunct/>
        <w:topLinePunct w:val="0"/>
        <w:autoSpaceDE/>
        <w:autoSpaceDN/>
        <w:bidi w:val="0"/>
        <w:adjustRightInd/>
        <w:snapToGrid/>
        <w:spacing w:line="240" w:lineRule="exact"/>
        <w:rPr>
          <w:rFonts w:hint="default" w:ascii="仿宋_GB2312" w:hAnsi="仿宋" w:eastAsia="仿宋_GB2312" w:cs="仿宋_GB2312"/>
          <w:color w:val="auto"/>
          <w:sz w:val="32"/>
          <w:szCs w:val="32"/>
          <w:lang w:val="en-US" w:eastAsia="zh-CN"/>
        </w:rPr>
      </w:pPr>
    </w:p>
    <w:p>
      <w:pPr>
        <w:pStyle w:val="3"/>
        <w:spacing w:line="560" w:lineRule="exact"/>
        <w:ind w:firstLine="0" w:firstLineChars="0"/>
      </w:pPr>
    </w:p>
    <w:p>
      <w:pPr>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sectPr>
          <w:pgSz w:w="16838" w:h="11906" w:orient="landscape"/>
          <w:pgMar w:top="1417" w:right="1474" w:bottom="1474" w:left="1474" w:header="851" w:footer="992" w:gutter="0"/>
          <w:cols w:space="720" w:num="1"/>
          <w:docGrid w:type="lines" w:linePitch="317"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Calibri" w:eastAsia="方正小标宋_GBK" w:cs="Times New Roman"/>
          <w:color w:val="auto"/>
          <w:kern w:val="2"/>
          <w:sz w:val="44"/>
          <w:szCs w:val="44"/>
          <w:lang w:val="en-US" w:eastAsia="zh-CN" w:bidi="ar-SA"/>
        </w:rPr>
      </w:pPr>
      <w:r>
        <w:rPr>
          <w:rFonts w:hint="eastAsia" w:ascii="方正小标宋_GBK" w:hAnsi="Calibri" w:eastAsia="方正小标宋_GBK" w:cs="Times New Roman"/>
          <w:color w:val="auto"/>
          <w:kern w:val="2"/>
          <w:sz w:val="44"/>
          <w:szCs w:val="44"/>
          <w:lang w:val="en-US" w:eastAsia="zh-CN" w:bidi="ar-SA"/>
        </w:rPr>
        <w:t>青岛市修订部分基本医疗保险医用耗材医保</w:t>
      </w:r>
    </w:p>
    <w:p>
      <w:pPr>
        <w:pStyle w:val="2"/>
        <w:keepNext w:val="0"/>
        <w:keepLines w:val="0"/>
        <w:pageBreakBefore w:val="0"/>
        <w:widowControl w:val="0"/>
        <w:kinsoku/>
        <w:wordWrap/>
        <w:overflowPunct/>
        <w:topLinePunct w:val="0"/>
        <w:autoSpaceDE/>
        <w:autoSpaceDN/>
        <w:bidi w:val="0"/>
        <w:adjustRightInd/>
        <w:snapToGrid/>
        <w:spacing w:after="160" w:afterLines="50" w:line="560" w:lineRule="exact"/>
        <w:jc w:val="center"/>
        <w:textAlignment w:val="auto"/>
        <w:rPr>
          <w:rFonts w:hint="eastAsia"/>
          <w:lang w:eastAsia="zh-CN"/>
        </w:rPr>
      </w:pPr>
      <w:r>
        <w:rPr>
          <w:rFonts w:hint="eastAsia" w:ascii="方正小标宋_GBK" w:hAnsi="Calibri" w:eastAsia="方正小标宋_GBK" w:cs="Times New Roman"/>
          <w:color w:val="auto"/>
          <w:kern w:val="2"/>
          <w:sz w:val="44"/>
          <w:szCs w:val="44"/>
          <w:lang w:val="en-US" w:eastAsia="zh-CN" w:bidi="ar-SA"/>
        </w:rPr>
        <w:t>支付标准</w:t>
      </w:r>
    </w:p>
    <w:tbl>
      <w:tblPr>
        <w:tblStyle w:val="13"/>
        <w:tblW w:w="910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1"/>
        <w:gridCol w:w="1714"/>
        <w:gridCol w:w="1719"/>
        <w:gridCol w:w="1200"/>
        <w:gridCol w:w="938"/>
        <w:gridCol w:w="938"/>
        <w:gridCol w:w="7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5" w:hRule="atLeast"/>
          <w:jc w:val="center"/>
        </w:trPr>
        <w:tc>
          <w:tcPr>
            <w:tcW w:w="1811"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一级分类</w:t>
            </w:r>
          </w:p>
        </w:tc>
        <w:tc>
          <w:tcPr>
            <w:tcW w:w="171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二级分类</w:t>
            </w:r>
          </w:p>
        </w:tc>
        <w:tc>
          <w:tcPr>
            <w:tcW w:w="171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三级分类</w:t>
            </w:r>
          </w:p>
        </w:tc>
        <w:tc>
          <w:tcPr>
            <w:tcW w:w="120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通用名</w:t>
            </w:r>
          </w:p>
        </w:tc>
        <w:tc>
          <w:tcPr>
            <w:tcW w:w="187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医保支付标准</w:t>
            </w:r>
          </w:p>
        </w:tc>
        <w:tc>
          <w:tcPr>
            <w:tcW w:w="785"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5" w:hRule="atLeast"/>
          <w:jc w:val="center"/>
        </w:trPr>
        <w:tc>
          <w:tcPr>
            <w:tcW w:w="1811"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p>
        </w:tc>
        <w:tc>
          <w:tcPr>
            <w:tcW w:w="1714"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p>
        </w:tc>
        <w:tc>
          <w:tcPr>
            <w:tcW w:w="1719"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p>
        </w:tc>
        <w:tc>
          <w:tcPr>
            <w:tcW w:w="1200" w:type="dxa"/>
            <w:vMerge w:val="continue"/>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职工</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居民</w:t>
            </w:r>
          </w:p>
        </w:tc>
        <w:tc>
          <w:tcPr>
            <w:tcW w:w="785"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sz w:val="24"/>
                <w:szCs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jc w:val="center"/>
        </w:trPr>
        <w:tc>
          <w:tcPr>
            <w:tcW w:w="1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基础卫生材料</w:t>
            </w:r>
          </w:p>
        </w:tc>
        <w:tc>
          <w:tcPr>
            <w:tcW w:w="1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辅助生殖导管</w:t>
            </w:r>
          </w:p>
        </w:tc>
        <w:tc>
          <w:tcPr>
            <w:tcW w:w="17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移植导管</w:t>
            </w:r>
          </w:p>
        </w:tc>
        <w:tc>
          <w:tcPr>
            <w:tcW w:w="12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导管</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15%</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25%</w:t>
            </w:r>
          </w:p>
        </w:tc>
        <w:tc>
          <w:tcPr>
            <w:tcW w:w="7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8" w:hRule="atLeast"/>
          <w:jc w:val="center"/>
        </w:trPr>
        <w:tc>
          <w:tcPr>
            <w:tcW w:w="1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基础卫生材料</w:t>
            </w:r>
          </w:p>
        </w:tc>
        <w:tc>
          <w:tcPr>
            <w:tcW w:w="1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辅助生殖导管</w:t>
            </w:r>
          </w:p>
        </w:tc>
        <w:tc>
          <w:tcPr>
            <w:tcW w:w="17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其他人工生殖辅助导管</w:t>
            </w:r>
          </w:p>
        </w:tc>
        <w:tc>
          <w:tcPr>
            <w:tcW w:w="12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导管</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15%</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25%</w:t>
            </w:r>
          </w:p>
        </w:tc>
        <w:tc>
          <w:tcPr>
            <w:tcW w:w="7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898" w:hRule="atLeast"/>
          <w:jc w:val="center"/>
        </w:trPr>
        <w:tc>
          <w:tcPr>
            <w:tcW w:w="1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基础卫生材料</w:t>
            </w:r>
          </w:p>
        </w:tc>
        <w:tc>
          <w:tcPr>
            <w:tcW w:w="1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辅助生殖用针</w:t>
            </w:r>
          </w:p>
        </w:tc>
        <w:tc>
          <w:tcPr>
            <w:tcW w:w="17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取卵针</w:t>
            </w:r>
          </w:p>
        </w:tc>
        <w:tc>
          <w:tcPr>
            <w:tcW w:w="12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取卵针</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15%</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25%</w:t>
            </w:r>
          </w:p>
        </w:tc>
        <w:tc>
          <w:tcPr>
            <w:tcW w:w="7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suppressAutoHyphens/>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lang w:val="en-US" w:eastAsia="zh-CN"/>
              </w:rPr>
            </w:pPr>
          </w:p>
        </w:tc>
      </w:tr>
    </w:tbl>
    <w:p>
      <w:pPr>
        <w:spacing w:line="20" w:lineRule="exact"/>
        <w:sectPr>
          <w:pgSz w:w="11906" w:h="16838"/>
          <w:pgMar w:top="1474" w:right="1474" w:bottom="1474" w:left="1417" w:header="851" w:footer="992" w:gutter="0"/>
          <w:cols w:space="720" w:num="1"/>
          <w:docGrid w:type="lines" w:linePitch="317" w:charSpace="0"/>
        </w:sectPr>
      </w:pPr>
    </w:p>
    <w:p>
      <w:pPr>
        <w:keepNext w:val="0"/>
        <w:keepLines w:val="0"/>
        <w:pageBreakBefore w:val="0"/>
        <w:kinsoku/>
        <w:wordWrap/>
        <w:overflowPunct/>
        <w:topLinePunct w:val="0"/>
        <w:autoSpaceDE/>
        <w:autoSpaceDN/>
        <w:bidi w:val="0"/>
        <w:adjustRightInd/>
        <w:snapToGrid/>
        <w:spacing w:line="560" w:lineRule="exac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pStyle w:val="2"/>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after="160" w:afterLines="50" w:line="560" w:lineRule="exact"/>
        <w:jc w:val="center"/>
        <w:textAlignment w:val="center"/>
        <w:rPr>
          <w:rFonts w:hint="eastAsia" w:ascii="方正小标宋_GBK" w:hAnsi="Calibri" w:eastAsia="方正小标宋_GBK" w:cs="Times New Roman"/>
          <w:color w:val="auto"/>
          <w:kern w:val="2"/>
          <w:sz w:val="44"/>
          <w:szCs w:val="44"/>
          <w:lang w:val="en-US" w:eastAsia="zh-CN" w:bidi="ar-SA"/>
        </w:rPr>
      </w:pPr>
      <w:r>
        <w:rPr>
          <w:rFonts w:hint="eastAsia" w:ascii="方正小标宋_GBK" w:hAnsi="Calibri" w:eastAsia="方正小标宋_GBK" w:cs="Times New Roman"/>
          <w:color w:val="auto"/>
          <w:kern w:val="2"/>
          <w:sz w:val="44"/>
          <w:szCs w:val="44"/>
          <w:lang w:val="en-US" w:eastAsia="zh-CN" w:bidi="ar-SA"/>
        </w:rPr>
        <w:t>青岛市停用部分医疗服务价格项目</w:t>
      </w:r>
    </w:p>
    <w:tbl>
      <w:tblPr>
        <w:tblStyle w:val="13"/>
        <w:tblW w:w="8308" w:type="dxa"/>
        <w:jc w:val="center"/>
        <w:tblInd w:w="0" w:type="dxa"/>
        <w:tblLayout w:type="fixed"/>
        <w:tblCellMar>
          <w:top w:w="17" w:type="dxa"/>
          <w:left w:w="57" w:type="dxa"/>
          <w:bottom w:w="17" w:type="dxa"/>
          <w:right w:w="17" w:type="dxa"/>
        </w:tblCellMar>
      </w:tblPr>
      <w:tblGrid>
        <w:gridCol w:w="799"/>
        <w:gridCol w:w="1512"/>
        <w:gridCol w:w="4883"/>
        <w:gridCol w:w="1114"/>
      </w:tblGrid>
      <w:tr>
        <w:tblPrEx>
          <w:tblLayout w:type="fixed"/>
          <w:tblCellMar>
            <w:top w:w="17" w:type="dxa"/>
            <w:left w:w="57" w:type="dxa"/>
            <w:bottom w:w="17" w:type="dxa"/>
            <w:right w:w="17" w:type="dxa"/>
          </w:tblCellMar>
        </w:tblPrEx>
        <w:trPr>
          <w:trHeight w:val="510"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rPr>
                <w:rFonts w:hint="eastAsia" w:ascii="黑体" w:hAnsi="黑体" w:eastAsia="黑体" w:cs="黑体"/>
                <w:sz w:val="22"/>
                <w:szCs w:val="22"/>
              </w:rPr>
            </w:pPr>
            <w:r>
              <w:rPr>
                <w:rFonts w:hint="eastAsia" w:ascii="黑体" w:hAnsi="黑体" w:eastAsia="黑体" w:cs="黑体"/>
                <w:sz w:val="22"/>
                <w:szCs w:val="22"/>
              </w:rPr>
              <w:t>序号</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rPr>
                <w:rFonts w:hint="eastAsia" w:ascii="黑体" w:hAnsi="黑体" w:eastAsia="黑体" w:cs="黑体"/>
                <w:sz w:val="22"/>
                <w:szCs w:val="22"/>
              </w:rPr>
            </w:pPr>
            <w:r>
              <w:rPr>
                <w:rFonts w:hint="eastAsia" w:ascii="黑体" w:hAnsi="黑体" w:eastAsia="黑体" w:cs="黑体"/>
                <w:sz w:val="22"/>
                <w:szCs w:val="22"/>
              </w:rPr>
              <w:t>项目编码</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rPr>
                <w:rFonts w:hint="eastAsia" w:ascii="黑体" w:hAnsi="黑体" w:eastAsia="黑体" w:cs="黑体"/>
                <w:sz w:val="22"/>
                <w:szCs w:val="22"/>
              </w:rPr>
            </w:pPr>
            <w:r>
              <w:rPr>
                <w:rFonts w:hint="eastAsia" w:ascii="黑体" w:hAnsi="黑体" w:eastAsia="黑体" w:cs="黑体"/>
                <w:sz w:val="22"/>
                <w:szCs w:val="22"/>
              </w:rPr>
              <w:t>项目名称</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40" w:lineRule="exact"/>
              <w:jc w:val="center"/>
              <w:rPr>
                <w:rFonts w:hint="eastAsia" w:ascii="黑体" w:hAnsi="黑体" w:eastAsia="黑体" w:cs="黑体"/>
                <w:sz w:val="22"/>
                <w:szCs w:val="22"/>
              </w:rPr>
            </w:pPr>
            <w:r>
              <w:rPr>
                <w:rFonts w:hint="eastAsia" w:ascii="黑体" w:hAnsi="黑体" w:eastAsia="黑体" w:cs="黑体"/>
                <w:sz w:val="22"/>
                <w:szCs w:val="22"/>
              </w:rPr>
              <w:t>计价单位</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311201041b</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冻融胚胎移植术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311201042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单精子卵泡注射</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311201043</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单精子显微镜下卵细胞内授精术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331306001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经腹腔镜取卵术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FTB01701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促排卵治疗综合评估</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6</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FUD01702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胚胎评分</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7</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FUD07701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卵裂球/极体活检术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8</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HSB60302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显微镜下睾丸切开取精术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9</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HSD60101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经皮穿刺附睾精子抽吸术(PESA)</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10</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HSD60301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显微镜下附睾切开取精术(MESA)</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11</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HTB60101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经阴道穿刺采卵术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12</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HTC89401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经阴道配子移植术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13</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HTC89501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经腹腔镜输卵管内配子移植术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14</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HTE61301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宫腔内人工授精术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15</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HTE89401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胚胎移植术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16</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HTE89402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宫腔内配子移植术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17</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HTL61401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阴道内人工授精术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18</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HTX48701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卵母细胞胞浆内单精子注射</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19</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KSS16701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精子库供精信息技术咨询</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20</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KSS23701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精液冷冻</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21</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KSS23702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睾丸/附睾精子分离</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22</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KSS23703</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睾丸/附睾精子冷冻</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23</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KSS23704</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精液冷冻保存</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月</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24</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KSS23705</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精液冷冻复苏</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25</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KSS23706</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睾丸/附睾精子复苏</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26</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KSS23707</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精子优选处理</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27</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KSS23708</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精子优选处理-密度梯度离心法</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28</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KUB16701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卵子赠送技术咨询</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29</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KUB23701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未成熟卵体外成熟培养</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30</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KUB23702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卵子冷冻</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月</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31</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KUB23703</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卵子冷冻保存</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月</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32</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KUB23704</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卵子冷冻复苏</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33</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KUD23701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体外受精胚胎培养</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34</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KUD23702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体外受精早期胚胎辅助孵化透明带切割术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35</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KUD23703</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体外受精早期胚胎辅助孵化透明带激光打孔术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36</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KUD23704</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体外受精早期胚胎辅助孵化透明带激光削薄术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37</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KUD23705</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体外受精早期胚胎辅助孵化透明带化学削薄术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38</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KUD23706</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囊胚培养</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39</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KUD23707</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胚胎冷冻</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40</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KUD23708</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胚胎冷冻保存</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月</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41</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KUD23709</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胚胎玻璃化冷冻</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42</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KUD23710</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冷冻胚胎复苏</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43</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KUZ16701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体外受精随访</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44</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KUZ39701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辅助生育技术安全性措施</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45</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N270700009</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组织/细胞核酸（DNA/RNA）高通量测序</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 xml:space="preserve"> 2个基因</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46</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HUE53101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早孕减胎术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47</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HUE53101,KQ</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早孕减胎术以1个胎儿为基价，每多减灭1个加收</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每胎</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48</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HUE53102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妊娠中期选择性减胎术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49</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HUE53102,KQ</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妊娠中期选择性减胎术以1个胎儿为基价，每多减灭1个加收</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每胎</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50</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HTD71301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经腹子宫骶前悬吊术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51</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HTL70301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阴道断端骶棘韧带悬吊术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52</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HTL70302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经腹阴道穹隆骶骨悬吊术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53</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HTL83402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阴道旁修补术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54</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HTL83402,A1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阴道旁修补术儿童加收</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55</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HTP71401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经阴道子宫骶棘韧带悬吊术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56</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HTP71401,FB</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经阴道子宫骶棘韧带悬吊术双侧加收</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次</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57</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HXP82301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胫骨延长术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单侧</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58</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HXP82301,A1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胫骨延长术儿童加收</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单侧</w:t>
            </w:r>
          </w:p>
        </w:tc>
      </w:tr>
      <w:tr>
        <w:tblPrEx>
          <w:tblLayout w:type="fixed"/>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59</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HXP82302</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胫骨牵张延长术</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单侧</w:t>
            </w:r>
          </w:p>
        </w:tc>
      </w:tr>
      <w:tr>
        <w:tblPrEx>
          <w:tblLayout w:type="fixed"/>
          <w:tblCellMar>
            <w:top w:w="17" w:type="dxa"/>
            <w:left w:w="57" w:type="dxa"/>
            <w:bottom w:w="17" w:type="dxa"/>
            <w:right w:w="17" w:type="dxa"/>
          </w:tblCellMar>
        </w:tblPrEx>
        <w:trPr>
          <w:trHeight w:val="394" w:hRule="atLeast"/>
          <w:jc w:val="center"/>
        </w:trPr>
        <w:tc>
          <w:tcPr>
            <w:tcW w:w="7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60</w:t>
            </w:r>
          </w:p>
        </w:tc>
        <w:tc>
          <w:tcPr>
            <w:tcW w:w="15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HXP82302,A1</w:t>
            </w:r>
          </w:p>
        </w:tc>
        <w:tc>
          <w:tcPr>
            <w:tcW w:w="48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胫骨牵张延长术儿童加收</w:t>
            </w:r>
          </w:p>
        </w:tc>
        <w:tc>
          <w:tcPr>
            <w:tcW w:w="11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单侧</w:t>
            </w:r>
          </w:p>
        </w:tc>
      </w:tr>
    </w:tbl>
    <w:p>
      <w:pPr>
        <w:keepNext w:val="0"/>
        <w:keepLines w:val="0"/>
        <w:pageBreakBefore w:val="0"/>
        <w:kinsoku/>
        <w:wordWrap/>
        <w:overflowPunct/>
        <w:topLinePunct w:val="0"/>
        <w:autoSpaceDE/>
        <w:autoSpaceDN/>
        <w:bidi w:val="0"/>
        <w:adjustRightInd/>
        <w:snapToGrid/>
        <w:spacing w:line="400" w:lineRule="exact"/>
        <w:sectPr>
          <w:pgSz w:w="11906" w:h="16838"/>
          <w:pgMar w:top="2098" w:right="1474" w:bottom="1531" w:left="1587" w:header="851" w:footer="992" w:gutter="0"/>
          <w:cols w:space="720" w:num="1"/>
          <w:docGrid w:type="lines" w:linePitch="317" w:charSpace="0"/>
        </w:sectPr>
      </w:pPr>
    </w:p>
    <w:p>
      <w:pPr>
        <w:keepNext w:val="0"/>
        <w:keepLines w:val="0"/>
        <w:pageBreakBefore w:val="0"/>
        <w:kinsoku/>
        <w:wordWrap/>
        <w:overflowPunct/>
        <w:topLinePunct w:val="0"/>
        <w:autoSpaceDE/>
        <w:autoSpaceDN/>
        <w:bidi w:val="0"/>
        <w:adjustRightInd/>
        <w:snapToGrid/>
        <w:spacing w:line="560" w:lineRule="exac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pStyle w:val="2"/>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after="223" w:afterLines="50" w:line="560" w:lineRule="exact"/>
        <w:jc w:val="center"/>
        <w:textAlignment w:val="center"/>
        <w:rPr>
          <w:rFonts w:hint="eastAsia" w:ascii="方正小标宋_GBK" w:hAnsi="Calibri" w:eastAsia="方正小标宋_GBK" w:cs="Times New Roman"/>
          <w:color w:val="auto"/>
          <w:kern w:val="2"/>
          <w:sz w:val="44"/>
          <w:szCs w:val="44"/>
          <w:lang w:val="en-US" w:eastAsia="zh-CN" w:bidi="ar-SA"/>
        </w:rPr>
      </w:pPr>
      <w:r>
        <w:rPr>
          <w:rFonts w:hint="eastAsia" w:ascii="方正小标宋_GBK" w:hAnsi="Calibri" w:eastAsia="方正小标宋_GBK" w:cs="Times New Roman"/>
          <w:color w:val="auto"/>
          <w:kern w:val="2"/>
          <w:sz w:val="44"/>
          <w:szCs w:val="44"/>
          <w:lang w:val="en-US" w:eastAsia="zh-CN" w:bidi="ar-SA"/>
        </w:rPr>
        <w:t>不孕不育门诊</w:t>
      </w:r>
      <w:r>
        <w:rPr>
          <w:rFonts w:hint="default" w:ascii="方正小标宋_GBK" w:hAnsi="Calibri" w:eastAsia="方正小标宋_GBK" w:cs="Times New Roman"/>
          <w:color w:val="auto"/>
          <w:kern w:val="2"/>
          <w:sz w:val="44"/>
          <w:szCs w:val="44"/>
          <w:lang w:val="en-US" w:eastAsia="zh-CN" w:bidi="ar-SA"/>
        </w:rPr>
        <w:t>部分</w:t>
      </w:r>
      <w:r>
        <w:rPr>
          <w:rFonts w:hint="eastAsia" w:ascii="方正小标宋_GBK" w:hAnsi="Calibri" w:eastAsia="方正小标宋_GBK" w:cs="Times New Roman"/>
          <w:color w:val="auto"/>
          <w:kern w:val="2"/>
          <w:sz w:val="44"/>
          <w:szCs w:val="44"/>
          <w:lang w:val="en-US" w:eastAsia="zh-CN" w:bidi="ar-SA"/>
        </w:rPr>
        <w:t>技术治疗认定标准</w:t>
      </w:r>
    </w:p>
    <w:tbl>
      <w:tblPr>
        <w:tblStyle w:val="14"/>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7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trPr>
        <w:tc>
          <w:tcPr>
            <w:tcW w:w="2180" w:type="dxa"/>
            <w:vAlign w:val="center"/>
          </w:tcPr>
          <w:p>
            <w:pPr>
              <w:jc w:val="center"/>
              <w:rPr>
                <w:rFonts w:ascii="黑体" w:hAnsi="黑体" w:eastAsia="黑体" w:cs="黑体"/>
                <w:sz w:val="28"/>
                <w:szCs w:val="28"/>
              </w:rPr>
            </w:pPr>
            <w:r>
              <w:rPr>
                <w:rFonts w:hint="eastAsia" w:ascii="黑体" w:hAnsi="黑体" w:eastAsia="黑体" w:cs="黑体"/>
                <w:sz w:val="28"/>
                <w:szCs w:val="28"/>
              </w:rPr>
              <w:t>病种名称</w:t>
            </w:r>
          </w:p>
        </w:tc>
        <w:tc>
          <w:tcPr>
            <w:tcW w:w="7102" w:type="dxa"/>
            <w:vAlign w:val="center"/>
          </w:tcPr>
          <w:p>
            <w:pPr>
              <w:jc w:val="center"/>
              <w:rPr>
                <w:rFonts w:ascii="黑体" w:hAnsi="黑体" w:eastAsia="黑体" w:cs="黑体"/>
                <w:sz w:val="28"/>
                <w:szCs w:val="28"/>
              </w:rPr>
            </w:pPr>
            <w:r>
              <w:rPr>
                <w:rFonts w:hint="eastAsia" w:ascii="黑体" w:hAnsi="黑体" w:eastAsia="黑体" w:cs="黑体"/>
                <w:sz w:val="28"/>
                <w:szCs w:val="28"/>
              </w:rPr>
              <w:t>认定标准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2" w:hRule="atLeast"/>
        </w:trPr>
        <w:tc>
          <w:tcPr>
            <w:tcW w:w="2180" w:type="dxa"/>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不孕不育门诊辅助生殖技术治疗</w:t>
            </w:r>
          </w:p>
        </w:tc>
        <w:tc>
          <w:tcPr>
            <w:tcW w:w="7102" w:type="dxa"/>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需同时符合以下条件：</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1.经二级及以上定点医疗机构诊断为不孕不育症</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2.在经卫生健康部门批准开展人类辅助生殖技术的定点医疗机构开展辅助生殖治疗</w:t>
            </w:r>
          </w:p>
        </w:tc>
      </w:tr>
    </w:tbl>
    <w:p>
      <w:pPr>
        <w:spacing w:line="540" w:lineRule="exact"/>
        <w:ind w:firstLine="280" w:firstLineChars="100"/>
        <w:rPr>
          <w:rFonts w:hint="eastAsia" w:ascii="仿宋_GB2312" w:hAnsi="宋体" w:eastAsia="仿宋_GB2312" w:cs="仿宋_GB2312"/>
          <w:color w:val="000000"/>
          <w:sz w:val="28"/>
          <w:szCs w:val="28"/>
        </w:rPr>
      </w:pPr>
    </w:p>
    <w:p>
      <w:pPr>
        <w:spacing w:line="540" w:lineRule="exact"/>
        <w:ind w:firstLine="280" w:firstLineChars="100"/>
        <w:rPr>
          <w:rFonts w:hint="eastAsia" w:ascii="仿宋_GB2312" w:hAnsi="宋体" w:eastAsia="仿宋_GB2312" w:cs="仿宋_GB2312"/>
          <w:color w:val="000000"/>
          <w:sz w:val="28"/>
          <w:szCs w:val="28"/>
        </w:rPr>
      </w:pPr>
    </w:p>
    <w:p>
      <w:pPr>
        <w:spacing w:line="540" w:lineRule="exact"/>
        <w:ind w:firstLine="280" w:firstLineChars="100"/>
        <w:rPr>
          <w:rFonts w:hint="eastAsia" w:ascii="仿宋_GB2312" w:hAnsi="宋体" w:eastAsia="仿宋_GB2312" w:cs="仿宋_GB2312"/>
          <w:color w:val="000000"/>
          <w:sz w:val="28"/>
          <w:szCs w:val="28"/>
        </w:rPr>
      </w:pPr>
    </w:p>
    <w:p>
      <w:pPr>
        <w:spacing w:line="540" w:lineRule="exact"/>
        <w:ind w:firstLine="280" w:firstLineChars="100"/>
        <w:rPr>
          <w:rFonts w:hint="eastAsia" w:ascii="仿宋_GB2312" w:hAnsi="宋体" w:eastAsia="仿宋_GB2312" w:cs="仿宋_GB2312"/>
          <w:color w:val="000000"/>
          <w:sz w:val="28"/>
          <w:szCs w:val="28"/>
        </w:rPr>
      </w:pPr>
    </w:p>
    <w:p>
      <w:pPr>
        <w:rPr>
          <w:rFonts w:hint="eastAsia" w:ascii="仿宋_GB2312" w:hAnsi="宋体" w:eastAsia="仿宋_GB2312" w:cs="仿宋_GB2312"/>
          <w:color w:val="000000"/>
          <w:sz w:val="28"/>
          <w:szCs w:val="28"/>
        </w:rPr>
      </w:pPr>
    </w:p>
    <w:p>
      <w:pPr>
        <w:pStyle w:val="2"/>
        <w:rPr>
          <w:rFonts w:hint="eastAsia"/>
        </w:rPr>
      </w:pPr>
    </w:p>
    <w:p>
      <w:pPr>
        <w:pStyle w:val="2"/>
        <w:rPr>
          <w:rFonts w:hint="eastAsia" w:ascii="仿宋_GB2312" w:hAnsi="宋体" w:eastAsia="仿宋_GB2312" w:cs="仿宋_GB2312"/>
          <w:color w:val="000000"/>
          <w:sz w:val="28"/>
          <w:szCs w:val="28"/>
        </w:rPr>
      </w:pPr>
    </w:p>
    <w:p>
      <w:pPr>
        <w:rPr>
          <w:rFonts w:hint="eastAsia"/>
        </w:rPr>
      </w:pPr>
    </w:p>
    <w:p>
      <w:pPr>
        <w:pStyle w:val="2"/>
        <w:rPr>
          <w:rFonts w:hint="eastAsia"/>
        </w:rPr>
      </w:pPr>
    </w:p>
    <w:p>
      <w:pPr>
        <w:rPr>
          <w:rFonts w:hint="eastAsia"/>
        </w:rPr>
      </w:pPr>
    </w:p>
    <w:p>
      <w:pPr>
        <w:pStyle w:val="2"/>
        <w:rPr>
          <w:rFonts w:hint="eastAsia"/>
        </w:rPr>
      </w:pPr>
    </w:p>
    <w:p>
      <w:pPr>
        <w:pStyle w:val="2"/>
        <w:rPr>
          <w:rFonts w:hint="eastAsia"/>
        </w:rPr>
      </w:pPr>
    </w:p>
    <w:p>
      <w:pPr>
        <w:spacing w:line="540" w:lineRule="exact"/>
        <w:ind w:firstLine="280" w:firstLineChars="100"/>
        <w:rPr>
          <w:rFonts w:hint="eastAsia" w:ascii="仿宋_GB2312" w:hAnsi="宋体" w:eastAsia="仿宋_GB2312" w:cs="仿宋_GB2312"/>
          <w:color w:val="000000"/>
          <w:sz w:val="28"/>
          <w:szCs w:val="28"/>
        </w:rPr>
      </w:pPr>
    </w:p>
    <w:p>
      <w:pPr>
        <w:spacing w:line="540" w:lineRule="exact"/>
        <w:ind w:firstLine="320" w:firstLineChars="100"/>
        <w:rPr>
          <w:rFonts w:hint="eastAsia"/>
        </w:rPr>
      </w:pPr>
      <w:bookmarkStart w:id="0" w:name="_GoBack"/>
      <w:bookmarkEnd w:id="0"/>
    </w:p>
    <w:sectPr>
      <w:footerReference r:id="rId4" w:type="default"/>
      <w:pgSz w:w="11906" w:h="16838"/>
      <w:pgMar w:top="1701" w:right="1474" w:bottom="1984" w:left="1587"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仿宋">
    <w:panose1 w:val="02010609060101010101"/>
    <w:charset w:val="86"/>
    <w:family w:val="modern"/>
    <w:pitch w:val="default"/>
    <w:sig w:usb0="800002BF" w:usb1="38CF7CFA" w:usb2="00000016" w:usb3="00000000" w:csb0="00040001" w:csb1="00000000"/>
  </w:font>
  <w:font w:name="Verdana">
    <w:altName w:val="DejaVu Sans"/>
    <w:panose1 w:val="020B0604030504040204"/>
    <w:charset w:val="00"/>
    <w:family w:val="swiss"/>
    <w:pitch w:val="default"/>
    <w:sig w:usb0="00000000" w:usb1="00000000" w:usb2="00000010" w:usb3="00000000" w:csb0="2000019F" w:csb1="00000000"/>
  </w:font>
  <w:font w:name="方正细等线简体">
    <w:altName w:val="宋体"/>
    <w:panose1 w:val="00000000000000000000"/>
    <w:charset w:val="00"/>
    <w:family w:val="auto"/>
    <w:pitch w:val="default"/>
    <w:sig w:usb0="00000000" w:usb1="00000000" w:usb2="00000000" w:usb3="00000000" w:csb0="00040001" w:csb1="00000000"/>
  </w:font>
  <w:font w:name="方正小标宋_GBK">
    <w:panose1 w:val="03000502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昆仑仿宋">
    <w:altName w:val="宋体"/>
    <w:panose1 w:val="00000000000000000000"/>
    <w:charset w:val="86"/>
    <w:family w:val="modern"/>
    <w:pitch w:val="default"/>
    <w:sig w:usb0="00000000" w:usb1="00000000" w:usb2="00000010" w:usb3="00000000" w:csb0="00040000" w:csb1="00000000"/>
  </w:font>
  <w:font w:name="黑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-168910</wp:posOffset>
              </wp:positionV>
              <wp:extent cx="775970" cy="267970"/>
              <wp:effectExtent l="0" t="0" r="0" b="0"/>
              <wp:wrapNone/>
              <wp:docPr id="8" name="文本框 8"/>
              <wp:cNvGraphicFramePr/>
              <a:graphic xmlns:a="http://schemas.openxmlformats.org/drawingml/2006/main">
                <a:graphicData uri="http://schemas.microsoft.com/office/word/2010/wordprocessingShape">
                  <wps:wsp>
                    <wps:cNvSpPr txBox="1"/>
                    <wps:spPr>
                      <a:xfrm>
                        <a:off x="0" y="0"/>
                        <a:ext cx="775970" cy="267970"/>
                      </a:xfrm>
                      <a:prstGeom prst="rect">
                        <a:avLst/>
                      </a:prstGeom>
                      <a:noFill/>
                      <a:ln w="6350">
                        <a:noFill/>
                      </a:ln>
                      <a:effectLst/>
                    </wps:spPr>
                    <wps:txbx>
                      <w:txbxContent>
                        <w:p>
                          <w:pPr>
                            <w:snapToGrid w:val="0"/>
                            <w:jc w:val="center"/>
                            <w:rPr>
                              <w:rFonts w:ascii="宋体" w:hAnsi="宋体" w:eastAsia="宋体" w:cs="宋体"/>
                              <w:color w:val="000000"/>
                              <w:sz w:val="28"/>
                              <w:szCs w:val="28"/>
                            </w:rPr>
                          </w:pPr>
                          <w:r>
                            <w:rPr>
                              <w:rFonts w:ascii="宋体" w:hAnsi="宋体" w:eastAsia="宋体" w:cs="宋体"/>
                              <w:color w:val="000000"/>
                              <w:sz w:val="28"/>
                              <w:szCs w:val="28"/>
                            </w:rPr>
                            <w:t xml:space="preserve">— </w:t>
                          </w:r>
                          <w:r>
                            <w:rPr>
                              <w:rFonts w:ascii="宋体" w:hAnsi="宋体" w:eastAsia="宋体" w:cs="宋体"/>
                              <w:color w:val="000000"/>
                              <w:sz w:val="28"/>
                              <w:szCs w:val="28"/>
                            </w:rPr>
                            <w:fldChar w:fldCharType="begin"/>
                          </w:r>
                          <w:r>
                            <w:rPr>
                              <w:rFonts w:ascii="宋体" w:hAnsi="宋体" w:eastAsia="宋体" w:cs="宋体"/>
                              <w:color w:val="000000"/>
                              <w:sz w:val="28"/>
                              <w:szCs w:val="28"/>
                            </w:rPr>
                            <w:instrText xml:space="preserve"> PAGE  \* MERGEFORMAT </w:instrText>
                          </w:r>
                          <w:r>
                            <w:rPr>
                              <w:rFonts w:ascii="宋体" w:hAnsi="宋体" w:eastAsia="宋体" w:cs="宋体"/>
                              <w:color w:val="000000"/>
                              <w:sz w:val="28"/>
                              <w:szCs w:val="28"/>
                            </w:rPr>
                            <w:fldChar w:fldCharType="separate"/>
                          </w:r>
                          <w:r>
                            <w:rPr>
                              <w:rFonts w:ascii="宋体" w:hAnsi="宋体" w:cs="宋体"/>
                              <w:color w:val="000000"/>
                              <w:sz w:val="28"/>
                              <w:szCs w:val="28"/>
                            </w:rPr>
                            <w:t>13</w:t>
                          </w:r>
                          <w:r>
                            <w:rPr>
                              <w:rFonts w:ascii="宋体" w:hAnsi="宋体" w:eastAsia="宋体" w:cs="宋体"/>
                              <w:color w:val="000000"/>
                              <w:sz w:val="28"/>
                              <w:szCs w:val="28"/>
                            </w:rPr>
                            <w:fldChar w:fldCharType="end"/>
                          </w:r>
                          <w:r>
                            <w:rPr>
                              <w:rFonts w:ascii="宋体" w:hAnsi="宋体" w:eastAsia="宋体" w:cs="宋体"/>
                              <w:color w:val="000000"/>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3.3pt;height:21.1pt;width:61.1pt;mso-position-horizontal:outside;mso-position-horizontal-relative:margin;z-index:251668480;mso-width-relative:page;mso-height-relative:page;" filled="f" stroked="f" coordsize="21600,21600" o:gfxdata="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N+V5FfVAAAABwEAAA8AAAAAAAAAAQAgAAAAOAAAAGRycy9kb3ducmV2LnhtbFBLAQIU&#10;ABQAAAAIAIdO4kARoICaGQIAABUEAAAOAAAAAAAAAAEAIAAAADoBAABkcnMvZTJvRG9jLnhtbFBL&#10;BQYAAAAABgAGAFkBAADFBQAAAAA=&#10;">
              <v:fill on="f" focussize="0,0"/>
              <v:stroke on="f" weight="0.5pt"/>
              <v:imagedata o:title=""/>
              <o:lock v:ext="edit" aspectratio="f"/>
              <v:textbox inset="0mm,0mm,0mm,0mm">
                <w:txbxContent>
                  <w:p>
                    <w:pPr>
                      <w:snapToGrid w:val="0"/>
                      <w:jc w:val="center"/>
                      <w:rPr>
                        <w:rFonts w:ascii="宋体" w:hAnsi="宋体" w:eastAsia="宋体" w:cs="宋体"/>
                        <w:color w:val="000000"/>
                        <w:sz w:val="28"/>
                        <w:szCs w:val="28"/>
                      </w:rPr>
                    </w:pPr>
                    <w:r>
                      <w:rPr>
                        <w:rFonts w:ascii="宋体" w:hAnsi="宋体" w:eastAsia="宋体" w:cs="宋体"/>
                        <w:color w:val="000000"/>
                        <w:sz w:val="28"/>
                        <w:szCs w:val="28"/>
                      </w:rPr>
                      <w:t xml:space="preserve">— </w:t>
                    </w:r>
                    <w:r>
                      <w:rPr>
                        <w:rFonts w:ascii="宋体" w:hAnsi="宋体" w:eastAsia="宋体" w:cs="宋体"/>
                        <w:color w:val="000000"/>
                        <w:sz w:val="28"/>
                        <w:szCs w:val="28"/>
                      </w:rPr>
                      <w:fldChar w:fldCharType="begin"/>
                    </w:r>
                    <w:r>
                      <w:rPr>
                        <w:rFonts w:ascii="宋体" w:hAnsi="宋体" w:eastAsia="宋体" w:cs="宋体"/>
                        <w:color w:val="000000"/>
                        <w:sz w:val="28"/>
                        <w:szCs w:val="28"/>
                      </w:rPr>
                      <w:instrText xml:space="preserve"> PAGE  \* MERGEFORMAT </w:instrText>
                    </w:r>
                    <w:r>
                      <w:rPr>
                        <w:rFonts w:ascii="宋体" w:hAnsi="宋体" w:eastAsia="宋体" w:cs="宋体"/>
                        <w:color w:val="000000"/>
                        <w:sz w:val="28"/>
                        <w:szCs w:val="28"/>
                      </w:rPr>
                      <w:fldChar w:fldCharType="separate"/>
                    </w:r>
                    <w:r>
                      <w:rPr>
                        <w:rFonts w:ascii="宋体" w:hAnsi="宋体" w:cs="宋体"/>
                        <w:color w:val="000000"/>
                        <w:sz w:val="28"/>
                        <w:szCs w:val="28"/>
                      </w:rPr>
                      <w:t>13</w:t>
                    </w:r>
                    <w:r>
                      <w:rPr>
                        <w:rFonts w:ascii="宋体" w:hAnsi="宋体" w:eastAsia="宋体" w:cs="宋体"/>
                        <w:color w:val="000000"/>
                        <w:sz w:val="28"/>
                        <w:szCs w:val="28"/>
                      </w:rPr>
                      <w:fldChar w:fldCharType="end"/>
                    </w:r>
                    <w:r>
                      <w:rPr>
                        <w:rFonts w:ascii="宋体" w:hAnsi="宋体" w:eastAsia="宋体" w:cs="宋体"/>
                        <w:color w:val="000000"/>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wps:spPr>
                    <wps:txbx>
                      <w:txbxContent>
                        <w:p>
                          <w:pPr>
                            <w:pStyle w:val="7"/>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BXsUjg0AAAAAMBAAAPAAAAAAAAAAEAIAAAADgAAABkcnMvZG93bnJldi54&#10;bWxQSwECFAAUAAAACACHTuJAqqxVKewBAAC0AwAADgAAAAAAAAABACAAAAA1AQAAZHJzL2Uyb0Rv&#10;Yy54bWxQSwUGAAAAAAYABgBZAQAAkwUAAAAA&#10;">
              <v:fill on="f" focussize="0,0"/>
              <v:stroke on="f"/>
              <v:imagedata o:title=""/>
              <o:lock v:ext="edit" aspectratio="f"/>
              <v:textbox inset="0mm,0mm,0mm,0mm" style="mso-fit-shape-to-text:t;">
                <w:txbxContent>
                  <w:p>
                    <w:pPr>
                      <w:pStyle w:val="7"/>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drawingGridVerticalSpacing w:val="221"/>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22184"/>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710756"/>
    <w:rsid w:val="007328E3"/>
    <w:rsid w:val="007341DB"/>
    <w:rsid w:val="00735ECA"/>
    <w:rsid w:val="00740494"/>
    <w:rsid w:val="007411DF"/>
    <w:rsid w:val="0074180D"/>
    <w:rsid w:val="00742264"/>
    <w:rsid w:val="007466EB"/>
    <w:rsid w:val="007512FF"/>
    <w:rsid w:val="00786047"/>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C0E20"/>
    <w:rsid w:val="008D2994"/>
    <w:rsid w:val="008E7D43"/>
    <w:rsid w:val="008F0382"/>
    <w:rsid w:val="008F31C3"/>
    <w:rsid w:val="00904367"/>
    <w:rsid w:val="0091387A"/>
    <w:rsid w:val="00933976"/>
    <w:rsid w:val="00937CFA"/>
    <w:rsid w:val="00945295"/>
    <w:rsid w:val="00950932"/>
    <w:rsid w:val="009526E7"/>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7DBB"/>
    <w:rsid w:val="00A85376"/>
    <w:rsid w:val="00A968BC"/>
    <w:rsid w:val="00AC0559"/>
    <w:rsid w:val="00AC1B35"/>
    <w:rsid w:val="00AC6644"/>
    <w:rsid w:val="00AE095A"/>
    <w:rsid w:val="00AE3B82"/>
    <w:rsid w:val="00B03891"/>
    <w:rsid w:val="00B073B5"/>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215E8"/>
    <w:rsid w:val="00C21AEC"/>
    <w:rsid w:val="00C53661"/>
    <w:rsid w:val="00C565A5"/>
    <w:rsid w:val="00C64CE5"/>
    <w:rsid w:val="00C8165A"/>
    <w:rsid w:val="00C91F63"/>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102F"/>
    <w:rsid w:val="00EE4E0A"/>
    <w:rsid w:val="00EF2783"/>
    <w:rsid w:val="00EF46A3"/>
    <w:rsid w:val="00EF58D3"/>
    <w:rsid w:val="00F0190C"/>
    <w:rsid w:val="00F109D6"/>
    <w:rsid w:val="00F16023"/>
    <w:rsid w:val="00F255D9"/>
    <w:rsid w:val="00F300AC"/>
    <w:rsid w:val="00F462D6"/>
    <w:rsid w:val="00F75940"/>
    <w:rsid w:val="00FA3356"/>
    <w:rsid w:val="00FB2F67"/>
    <w:rsid w:val="00FC6CB4"/>
    <w:rsid w:val="00FD1133"/>
    <w:rsid w:val="00FD2FA3"/>
    <w:rsid w:val="00FE7155"/>
    <w:rsid w:val="011211D9"/>
    <w:rsid w:val="01282572"/>
    <w:rsid w:val="01DF5A2E"/>
    <w:rsid w:val="03FD446C"/>
    <w:rsid w:val="04A3127F"/>
    <w:rsid w:val="06BFD6F2"/>
    <w:rsid w:val="073354CD"/>
    <w:rsid w:val="07473F5D"/>
    <w:rsid w:val="075767EB"/>
    <w:rsid w:val="08351B6F"/>
    <w:rsid w:val="09CB5A40"/>
    <w:rsid w:val="0B9F4DBD"/>
    <w:rsid w:val="0C1248C0"/>
    <w:rsid w:val="0C157FF1"/>
    <w:rsid w:val="0C5A010F"/>
    <w:rsid w:val="0D31124A"/>
    <w:rsid w:val="0DB23637"/>
    <w:rsid w:val="0DBD3488"/>
    <w:rsid w:val="0E146315"/>
    <w:rsid w:val="0EE345C5"/>
    <w:rsid w:val="0FE806D9"/>
    <w:rsid w:val="0FF76F9D"/>
    <w:rsid w:val="0FFF4AC7"/>
    <w:rsid w:val="10456B18"/>
    <w:rsid w:val="10A93CD1"/>
    <w:rsid w:val="117413A5"/>
    <w:rsid w:val="12036320"/>
    <w:rsid w:val="12CC6DB0"/>
    <w:rsid w:val="13570462"/>
    <w:rsid w:val="142F7503"/>
    <w:rsid w:val="14722ED8"/>
    <w:rsid w:val="14FA0A8E"/>
    <w:rsid w:val="14FF59E4"/>
    <w:rsid w:val="153C3324"/>
    <w:rsid w:val="15DB6C6D"/>
    <w:rsid w:val="16704B98"/>
    <w:rsid w:val="171942DB"/>
    <w:rsid w:val="17F37C6A"/>
    <w:rsid w:val="17F96DE1"/>
    <w:rsid w:val="197B2179"/>
    <w:rsid w:val="197C77F3"/>
    <w:rsid w:val="19DA0B32"/>
    <w:rsid w:val="1A5F50F6"/>
    <w:rsid w:val="1A686BC7"/>
    <w:rsid w:val="1B374407"/>
    <w:rsid w:val="1B6F3051"/>
    <w:rsid w:val="1BB7AD30"/>
    <w:rsid w:val="1BBA4884"/>
    <w:rsid w:val="1BFD9162"/>
    <w:rsid w:val="1CFF3805"/>
    <w:rsid w:val="1DEEF102"/>
    <w:rsid w:val="1DFF0FD8"/>
    <w:rsid w:val="1DFF32C7"/>
    <w:rsid w:val="1EAD72C7"/>
    <w:rsid w:val="1EB5523E"/>
    <w:rsid w:val="1EBB6D3F"/>
    <w:rsid w:val="1EDBDCB4"/>
    <w:rsid w:val="1EDD07A3"/>
    <w:rsid w:val="1F694C87"/>
    <w:rsid w:val="1F913B73"/>
    <w:rsid w:val="1FBFE700"/>
    <w:rsid w:val="1FC554F9"/>
    <w:rsid w:val="1FF5FFE4"/>
    <w:rsid w:val="1FFB2177"/>
    <w:rsid w:val="1FFB4064"/>
    <w:rsid w:val="20D2137B"/>
    <w:rsid w:val="2133323D"/>
    <w:rsid w:val="21375F55"/>
    <w:rsid w:val="2191658F"/>
    <w:rsid w:val="21F42C42"/>
    <w:rsid w:val="228E16E9"/>
    <w:rsid w:val="22C1038A"/>
    <w:rsid w:val="22D22E25"/>
    <w:rsid w:val="22FA382B"/>
    <w:rsid w:val="23B74CC9"/>
    <w:rsid w:val="23F62D14"/>
    <w:rsid w:val="2546495F"/>
    <w:rsid w:val="2559413F"/>
    <w:rsid w:val="259E4167"/>
    <w:rsid w:val="25D7620E"/>
    <w:rsid w:val="26113C3E"/>
    <w:rsid w:val="2697468D"/>
    <w:rsid w:val="279925B8"/>
    <w:rsid w:val="27B87745"/>
    <w:rsid w:val="28A42B85"/>
    <w:rsid w:val="29534396"/>
    <w:rsid w:val="29F17C85"/>
    <w:rsid w:val="2A0B5929"/>
    <w:rsid w:val="2A4B00C9"/>
    <w:rsid w:val="2A72BC3D"/>
    <w:rsid w:val="2AD8DF9D"/>
    <w:rsid w:val="2AFE1DFF"/>
    <w:rsid w:val="2B230FBB"/>
    <w:rsid w:val="2B3E6C19"/>
    <w:rsid w:val="2C2516DC"/>
    <w:rsid w:val="2C6C4CC1"/>
    <w:rsid w:val="2CB40D31"/>
    <w:rsid w:val="2CC226E0"/>
    <w:rsid w:val="2D863506"/>
    <w:rsid w:val="2DAA3B42"/>
    <w:rsid w:val="2DCEB1C4"/>
    <w:rsid w:val="2E6939E2"/>
    <w:rsid w:val="2EDDB098"/>
    <w:rsid w:val="2EF7C9B2"/>
    <w:rsid w:val="2EFF0DCE"/>
    <w:rsid w:val="2F7C36B3"/>
    <w:rsid w:val="2FBEB3AE"/>
    <w:rsid w:val="2FDA4495"/>
    <w:rsid w:val="2FDF2D65"/>
    <w:rsid w:val="2FF34915"/>
    <w:rsid w:val="2FF75DEF"/>
    <w:rsid w:val="2FF7BB4D"/>
    <w:rsid w:val="2FFD8AA3"/>
    <w:rsid w:val="313F8DCD"/>
    <w:rsid w:val="3194092C"/>
    <w:rsid w:val="31FBD154"/>
    <w:rsid w:val="32AA7096"/>
    <w:rsid w:val="336F94E7"/>
    <w:rsid w:val="337FF715"/>
    <w:rsid w:val="33A73EED"/>
    <w:rsid w:val="33FB90AB"/>
    <w:rsid w:val="33FF29D2"/>
    <w:rsid w:val="342D59AC"/>
    <w:rsid w:val="35D843A3"/>
    <w:rsid w:val="35DF434C"/>
    <w:rsid w:val="35F525E6"/>
    <w:rsid w:val="35FA89F6"/>
    <w:rsid w:val="362D2EEB"/>
    <w:rsid w:val="36B97CF2"/>
    <w:rsid w:val="36CD750F"/>
    <w:rsid w:val="36DA3F23"/>
    <w:rsid w:val="3700709C"/>
    <w:rsid w:val="374A2D07"/>
    <w:rsid w:val="37B51C26"/>
    <w:rsid w:val="37B9C93A"/>
    <w:rsid w:val="37BF4C09"/>
    <w:rsid w:val="37BF6EB8"/>
    <w:rsid w:val="37BF91FC"/>
    <w:rsid w:val="37FF4A02"/>
    <w:rsid w:val="37FF9D6B"/>
    <w:rsid w:val="38754C59"/>
    <w:rsid w:val="388A4F70"/>
    <w:rsid w:val="38BBA07F"/>
    <w:rsid w:val="38BBE0FA"/>
    <w:rsid w:val="38FF7FAD"/>
    <w:rsid w:val="3939640E"/>
    <w:rsid w:val="39632C92"/>
    <w:rsid w:val="397FB1DC"/>
    <w:rsid w:val="399A7BB5"/>
    <w:rsid w:val="39A20F4B"/>
    <w:rsid w:val="39FBE3DC"/>
    <w:rsid w:val="3A2C06A4"/>
    <w:rsid w:val="3A354A8F"/>
    <w:rsid w:val="3A358B53"/>
    <w:rsid w:val="3A8A4F42"/>
    <w:rsid w:val="3A8F28FA"/>
    <w:rsid w:val="3AF35F4A"/>
    <w:rsid w:val="3B7FB45E"/>
    <w:rsid w:val="3BC77647"/>
    <w:rsid w:val="3BEFCFE3"/>
    <w:rsid w:val="3BF7A6A5"/>
    <w:rsid w:val="3BFB1171"/>
    <w:rsid w:val="3BFBD5C5"/>
    <w:rsid w:val="3C193C83"/>
    <w:rsid w:val="3C6FC735"/>
    <w:rsid w:val="3CBED2D2"/>
    <w:rsid w:val="3CF46257"/>
    <w:rsid w:val="3CFA6418"/>
    <w:rsid w:val="3D093D18"/>
    <w:rsid w:val="3D0AED59"/>
    <w:rsid w:val="3D1A5651"/>
    <w:rsid w:val="3D7347E4"/>
    <w:rsid w:val="3DB13E56"/>
    <w:rsid w:val="3DBF59A8"/>
    <w:rsid w:val="3DDF7FC2"/>
    <w:rsid w:val="3DF3B23C"/>
    <w:rsid w:val="3EBBE3D1"/>
    <w:rsid w:val="3EDEC9F8"/>
    <w:rsid w:val="3EDF0A2B"/>
    <w:rsid w:val="3EDFD1D0"/>
    <w:rsid w:val="3EF669D4"/>
    <w:rsid w:val="3EF9C894"/>
    <w:rsid w:val="3EFBCBB0"/>
    <w:rsid w:val="3EFEFB90"/>
    <w:rsid w:val="3EFFC210"/>
    <w:rsid w:val="3F2EA850"/>
    <w:rsid w:val="3F2F4621"/>
    <w:rsid w:val="3F3DEEED"/>
    <w:rsid w:val="3F4C0207"/>
    <w:rsid w:val="3F4E76BD"/>
    <w:rsid w:val="3F5E39FD"/>
    <w:rsid w:val="3F6139CA"/>
    <w:rsid w:val="3F87612B"/>
    <w:rsid w:val="3FA3BF41"/>
    <w:rsid w:val="3FB7E68D"/>
    <w:rsid w:val="3FBE5D23"/>
    <w:rsid w:val="3FBF19B2"/>
    <w:rsid w:val="3FBFE0DE"/>
    <w:rsid w:val="3FCF98C0"/>
    <w:rsid w:val="3FCFC989"/>
    <w:rsid w:val="3FD31313"/>
    <w:rsid w:val="3FDFC494"/>
    <w:rsid w:val="3FE95B75"/>
    <w:rsid w:val="3FEF3137"/>
    <w:rsid w:val="3FF70219"/>
    <w:rsid w:val="3FFBE76A"/>
    <w:rsid w:val="3FFC9EFA"/>
    <w:rsid w:val="3FFD8814"/>
    <w:rsid w:val="3FFEE964"/>
    <w:rsid w:val="3FFF1C89"/>
    <w:rsid w:val="3FFF1D10"/>
    <w:rsid w:val="3FFF20D5"/>
    <w:rsid w:val="40B049D0"/>
    <w:rsid w:val="40F92307"/>
    <w:rsid w:val="42D06AA0"/>
    <w:rsid w:val="4396049F"/>
    <w:rsid w:val="43B647A2"/>
    <w:rsid w:val="43EFC823"/>
    <w:rsid w:val="45525E68"/>
    <w:rsid w:val="46B96E30"/>
    <w:rsid w:val="46C69D34"/>
    <w:rsid w:val="46EE4BCE"/>
    <w:rsid w:val="473E2F5E"/>
    <w:rsid w:val="47E7F8B4"/>
    <w:rsid w:val="47F50690"/>
    <w:rsid w:val="487F1A5D"/>
    <w:rsid w:val="49421DFA"/>
    <w:rsid w:val="496B19AD"/>
    <w:rsid w:val="49B35F88"/>
    <w:rsid w:val="4A7F11BE"/>
    <w:rsid w:val="4ABDB90B"/>
    <w:rsid w:val="4B4D1082"/>
    <w:rsid w:val="4BA7C2F7"/>
    <w:rsid w:val="4BFF27C2"/>
    <w:rsid w:val="4D31591D"/>
    <w:rsid w:val="4D811F42"/>
    <w:rsid w:val="4DD231F6"/>
    <w:rsid w:val="4DEC04C1"/>
    <w:rsid w:val="4DFFC288"/>
    <w:rsid w:val="4E24703C"/>
    <w:rsid w:val="4EBA63AE"/>
    <w:rsid w:val="4EBFA63C"/>
    <w:rsid w:val="4ED55A11"/>
    <w:rsid w:val="4EDE657E"/>
    <w:rsid w:val="4EFFED9E"/>
    <w:rsid w:val="4F7BA551"/>
    <w:rsid w:val="4FDCCB3D"/>
    <w:rsid w:val="4FE7F702"/>
    <w:rsid w:val="4FFFD84D"/>
    <w:rsid w:val="50553A2D"/>
    <w:rsid w:val="507B40DE"/>
    <w:rsid w:val="50FB5AD7"/>
    <w:rsid w:val="51FED7AB"/>
    <w:rsid w:val="52426AE5"/>
    <w:rsid w:val="52B956E9"/>
    <w:rsid w:val="52CAB47D"/>
    <w:rsid w:val="52DF96BD"/>
    <w:rsid w:val="531D5738"/>
    <w:rsid w:val="533BC8D5"/>
    <w:rsid w:val="53DBDB60"/>
    <w:rsid w:val="55036598"/>
    <w:rsid w:val="559FD1D8"/>
    <w:rsid w:val="55AB2BA8"/>
    <w:rsid w:val="55B3113A"/>
    <w:rsid w:val="55D7BA4A"/>
    <w:rsid w:val="5642140F"/>
    <w:rsid w:val="56604735"/>
    <w:rsid w:val="56EF0A81"/>
    <w:rsid w:val="57141C6D"/>
    <w:rsid w:val="57AF5A7F"/>
    <w:rsid w:val="57AF71B5"/>
    <w:rsid w:val="57BFFBCD"/>
    <w:rsid w:val="57EF0BAE"/>
    <w:rsid w:val="57FE51C5"/>
    <w:rsid w:val="586FF708"/>
    <w:rsid w:val="5936527B"/>
    <w:rsid w:val="59725C82"/>
    <w:rsid w:val="59D7379E"/>
    <w:rsid w:val="59F718C9"/>
    <w:rsid w:val="5AE7ED3F"/>
    <w:rsid w:val="5AFAD16B"/>
    <w:rsid w:val="5AFFC7AA"/>
    <w:rsid w:val="5B5DDCEB"/>
    <w:rsid w:val="5B5E7AF9"/>
    <w:rsid w:val="5B6FE07D"/>
    <w:rsid w:val="5B71A6AC"/>
    <w:rsid w:val="5BB12B04"/>
    <w:rsid w:val="5BCAA72A"/>
    <w:rsid w:val="5BD462C2"/>
    <w:rsid w:val="5BE75446"/>
    <w:rsid w:val="5C3D2425"/>
    <w:rsid w:val="5C720997"/>
    <w:rsid w:val="5CA278AC"/>
    <w:rsid w:val="5CAB73AB"/>
    <w:rsid w:val="5D3E035D"/>
    <w:rsid w:val="5D679615"/>
    <w:rsid w:val="5D7EA438"/>
    <w:rsid w:val="5D7F42EF"/>
    <w:rsid w:val="5DB3FBAC"/>
    <w:rsid w:val="5DBB7C3E"/>
    <w:rsid w:val="5DCB895F"/>
    <w:rsid w:val="5DE5577C"/>
    <w:rsid w:val="5DEBCC91"/>
    <w:rsid w:val="5E116B87"/>
    <w:rsid w:val="5E1FF350"/>
    <w:rsid w:val="5E70697A"/>
    <w:rsid w:val="5E7F5DBE"/>
    <w:rsid w:val="5E7FB30F"/>
    <w:rsid w:val="5E93C2C4"/>
    <w:rsid w:val="5EA72958"/>
    <w:rsid w:val="5ECD513B"/>
    <w:rsid w:val="5EFA7CCD"/>
    <w:rsid w:val="5EFFFEAD"/>
    <w:rsid w:val="5F0E2B71"/>
    <w:rsid w:val="5F264690"/>
    <w:rsid w:val="5F2A5003"/>
    <w:rsid w:val="5F3F883A"/>
    <w:rsid w:val="5F647CE3"/>
    <w:rsid w:val="5F6D7FA1"/>
    <w:rsid w:val="5F7DEFD9"/>
    <w:rsid w:val="5F7E20A6"/>
    <w:rsid w:val="5F8EA0CC"/>
    <w:rsid w:val="5F9F8F45"/>
    <w:rsid w:val="5FAD286F"/>
    <w:rsid w:val="5FAFF066"/>
    <w:rsid w:val="5FBF250D"/>
    <w:rsid w:val="5FCF242C"/>
    <w:rsid w:val="5FDB1148"/>
    <w:rsid w:val="5FDB8DAD"/>
    <w:rsid w:val="5FDC2071"/>
    <w:rsid w:val="5FDF9EA8"/>
    <w:rsid w:val="5FDFF77F"/>
    <w:rsid w:val="5FE37F11"/>
    <w:rsid w:val="5FE42081"/>
    <w:rsid w:val="5FEB15B1"/>
    <w:rsid w:val="5FF167C6"/>
    <w:rsid w:val="5FF3C73B"/>
    <w:rsid w:val="5FF5F070"/>
    <w:rsid w:val="5FFA10B3"/>
    <w:rsid w:val="5FFD8E6E"/>
    <w:rsid w:val="5FFDF593"/>
    <w:rsid w:val="5FFEDAAE"/>
    <w:rsid w:val="5FFFD77A"/>
    <w:rsid w:val="5FFFFF53"/>
    <w:rsid w:val="60265A01"/>
    <w:rsid w:val="61735774"/>
    <w:rsid w:val="61D727BB"/>
    <w:rsid w:val="62086249"/>
    <w:rsid w:val="631B5C33"/>
    <w:rsid w:val="63817E5E"/>
    <w:rsid w:val="63B674D4"/>
    <w:rsid w:val="63BFD95A"/>
    <w:rsid w:val="63F5CA29"/>
    <w:rsid w:val="63FF666F"/>
    <w:rsid w:val="656E7945"/>
    <w:rsid w:val="657EF9D2"/>
    <w:rsid w:val="65BF404B"/>
    <w:rsid w:val="65BF4E5C"/>
    <w:rsid w:val="65FE0244"/>
    <w:rsid w:val="66AD5B16"/>
    <w:rsid w:val="66BF22E5"/>
    <w:rsid w:val="66F572B7"/>
    <w:rsid w:val="66FE5F43"/>
    <w:rsid w:val="66FE6219"/>
    <w:rsid w:val="674D6AB9"/>
    <w:rsid w:val="676F9529"/>
    <w:rsid w:val="677A5FD4"/>
    <w:rsid w:val="677FC794"/>
    <w:rsid w:val="678FB741"/>
    <w:rsid w:val="679FCA90"/>
    <w:rsid w:val="67BF50E3"/>
    <w:rsid w:val="67DFCF48"/>
    <w:rsid w:val="67F16D74"/>
    <w:rsid w:val="67F7365F"/>
    <w:rsid w:val="67FB38F2"/>
    <w:rsid w:val="68140BAF"/>
    <w:rsid w:val="6874679F"/>
    <w:rsid w:val="68A42524"/>
    <w:rsid w:val="68CB23F4"/>
    <w:rsid w:val="699E1ABF"/>
    <w:rsid w:val="69B81B73"/>
    <w:rsid w:val="69C436BC"/>
    <w:rsid w:val="69DED524"/>
    <w:rsid w:val="69ED1AF9"/>
    <w:rsid w:val="6AEF698F"/>
    <w:rsid w:val="6B2F1E1D"/>
    <w:rsid w:val="6B3EFDC5"/>
    <w:rsid w:val="6B589840"/>
    <w:rsid w:val="6B6F347D"/>
    <w:rsid w:val="6BF776EB"/>
    <w:rsid w:val="6BF7D8DC"/>
    <w:rsid w:val="6BFFCAB8"/>
    <w:rsid w:val="6C6572B2"/>
    <w:rsid w:val="6CF26ECE"/>
    <w:rsid w:val="6D253299"/>
    <w:rsid w:val="6D7FC5C8"/>
    <w:rsid w:val="6D8FBC66"/>
    <w:rsid w:val="6D9B405E"/>
    <w:rsid w:val="6DBE3697"/>
    <w:rsid w:val="6DDEF00E"/>
    <w:rsid w:val="6DF17F0F"/>
    <w:rsid w:val="6DF7EBBE"/>
    <w:rsid w:val="6DFF164E"/>
    <w:rsid w:val="6E3FEE03"/>
    <w:rsid w:val="6E7FAD69"/>
    <w:rsid w:val="6EB7D639"/>
    <w:rsid w:val="6ECF8674"/>
    <w:rsid w:val="6ED7A558"/>
    <w:rsid w:val="6EEB13ED"/>
    <w:rsid w:val="6F3B383A"/>
    <w:rsid w:val="6F73C333"/>
    <w:rsid w:val="6F7ED55D"/>
    <w:rsid w:val="6F7F80B4"/>
    <w:rsid w:val="6F9007F7"/>
    <w:rsid w:val="6F9FF4B4"/>
    <w:rsid w:val="6FA57DB9"/>
    <w:rsid w:val="6FB2A508"/>
    <w:rsid w:val="6FB95B0E"/>
    <w:rsid w:val="6FBB27F8"/>
    <w:rsid w:val="6FBD04A2"/>
    <w:rsid w:val="6FBFD97A"/>
    <w:rsid w:val="6FC637EA"/>
    <w:rsid w:val="6FD798F2"/>
    <w:rsid w:val="6FD95F5A"/>
    <w:rsid w:val="6FDA009D"/>
    <w:rsid w:val="6FDB700B"/>
    <w:rsid w:val="6FDDB44B"/>
    <w:rsid w:val="6FE46E86"/>
    <w:rsid w:val="6FE7440C"/>
    <w:rsid w:val="6FEE6504"/>
    <w:rsid w:val="6FEEA3D0"/>
    <w:rsid w:val="6FF728CE"/>
    <w:rsid w:val="6FFBF589"/>
    <w:rsid w:val="6FFC60CB"/>
    <w:rsid w:val="6FFF0957"/>
    <w:rsid w:val="6FFF1B5A"/>
    <w:rsid w:val="6FFF438D"/>
    <w:rsid w:val="6FFF5BDA"/>
    <w:rsid w:val="6FFF5C83"/>
    <w:rsid w:val="70C63A66"/>
    <w:rsid w:val="70DE0B3A"/>
    <w:rsid w:val="713E69A1"/>
    <w:rsid w:val="71D93D46"/>
    <w:rsid w:val="71D9F89E"/>
    <w:rsid w:val="71EA7051"/>
    <w:rsid w:val="72EE4E2A"/>
    <w:rsid w:val="72FF5590"/>
    <w:rsid w:val="73475EB2"/>
    <w:rsid w:val="739B3CF8"/>
    <w:rsid w:val="73BF5E6D"/>
    <w:rsid w:val="73D989AD"/>
    <w:rsid w:val="73EF1D96"/>
    <w:rsid w:val="73EFC61E"/>
    <w:rsid w:val="73FE3EE6"/>
    <w:rsid w:val="743D06C4"/>
    <w:rsid w:val="7467F4C1"/>
    <w:rsid w:val="747B060A"/>
    <w:rsid w:val="74E8A1DF"/>
    <w:rsid w:val="74F49EB4"/>
    <w:rsid w:val="74F7162D"/>
    <w:rsid w:val="74FBBB43"/>
    <w:rsid w:val="74FF8F81"/>
    <w:rsid w:val="751478A3"/>
    <w:rsid w:val="75267237"/>
    <w:rsid w:val="755D8E91"/>
    <w:rsid w:val="757DE146"/>
    <w:rsid w:val="759BAF08"/>
    <w:rsid w:val="759F5C11"/>
    <w:rsid w:val="75C7A694"/>
    <w:rsid w:val="75DE63C7"/>
    <w:rsid w:val="75DFD862"/>
    <w:rsid w:val="75EB5DD1"/>
    <w:rsid w:val="75ED5D32"/>
    <w:rsid w:val="75EDD706"/>
    <w:rsid w:val="75FD76EC"/>
    <w:rsid w:val="75FF86DD"/>
    <w:rsid w:val="763FB021"/>
    <w:rsid w:val="767D090A"/>
    <w:rsid w:val="767F7A3E"/>
    <w:rsid w:val="76B1680A"/>
    <w:rsid w:val="76FE1ECA"/>
    <w:rsid w:val="76FF6C0C"/>
    <w:rsid w:val="770569CF"/>
    <w:rsid w:val="773FF688"/>
    <w:rsid w:val="774E25FB"/>
    <w:rsid w:val="774EF875"/>
    <w:rsid w:val="775D5E8E"/>
    <w:rsid w:val="775F9FDF"/>
    <w:rsid w:val="777B600F"/>
    <w:rsid w:val="777B6EA8"/>
    <w:rsid w:val="777C69B4"/>
    <w:rsid w:val="77BBBF51"/>
    <w:rsid w:val="77BC3A15"/>
    <w:rsid w:val="77CFB321"/>
    <w:rsid w:val="77D22069"/>
    <w:rsid w:val="77DD32BD"/>
    <w:rsid w:val="77DF367B"/>
    <w:rsid w:val="77DFD0C3"/>
    <w:rsid w:val="77DFD42F"/>
    <w:rsid w:val="77ED9EA7"/>
    <w:rsid w:val="77F74095"/>
    <w:rsid w:val="77FB52C7"/>
    <w:rsid w:val="77FBDFA8"/>
    <w:rsid w:val="77FDD2FC"/>
    <w:rsid w:val="77FE45C7"/>
    <w:rsid w:val="77FE92BE"/>
    <w:rsid w:val="77FF4A01"/>
    <w:rsid w:val="77FF780D"/>
    <w:rsid w:val="77FFE2CA"/>
    <w:rsid w:val="77FFEEBD"/>
    <w:rsid w:val="77FFF782"/>
    <w:rsid w:val="78507153"/>
    <w:rsid w:val="78BE4166"/>
    <w:rsid w:val="78C34F0A"/>
    <w:rsid w:val="78CAE481"/>
    <w:rsid w:val="78FCC030"/>
    <w:rsid w:val="78FE481A"/>
    <w:rsid w:val="7937C7FC"/>
    <w:rsid w:val="793FE1B9"/>
    <w:rsid w:val="79734C0C"/>
    <w:rsid w:val="797B6E52"/>
    <w:rsid w:val="79969A69"/>
    <w:rsid w:val="79AF1868"/>
    <w:rsid w:val="79BFFCA6"/>
    <w:rsid w:val="79DE3447"/>
    <w:rsid w:val="7A3667F4"/>
    <w:rsid w:val="7ABB7EE5"/>
    <w:rsid w:val="7ABE5C61"/>
    <w:rsid w:val="7ABF335B"/>
    <w:rsid w:val="7ACF34A3"/>
    <w:rsid w:val="7AE970DD"/>
    <w:rsid w:val="7AE9A8AF"/>
    <w:rsid w:val="7AEBBC29"/>
    <w:rsid w:val="7AF77C0C"/>
    <w:rsid w:val="7AFAE4EF"/>
    <w:rsid w:val="7AFFA8F0"/>
    <w:rsid w:val="7B1FCA18"/>
    <w:rsid w:val="7B3F37C5"/>
    <w:rsid w:val="7B3F459D"/>
    <w:rsid w:val="7B3FC04B"/>
    <w:rsid w:val="7B7EA09D"/>
    <w:rsid w:val="7B7F201C"/>
    <w:rsid w:val="7B9E3516"/>
    <w:rsid w:val="7BAE22C3"/>
    <w:rsid w:val="7BB6C5F2"/>
    <w:rsid w:val="7BBF66D3"/>
    <w:rsid w:val="7BBF92C5"/>
    <w:rsid w:val="7BBFDE32"/>
    <w:rsid w:val="7BCE5CE6"/>
    <w:rsid w:val="7BD789FE"/>
    <w:rsid w:val="7BDBBE37"/>
    <w:rsid w:val="7BEF0DDF"/>
    <w:rsid w:val="7BF19C09"/>
    <w:rsid w:val="7BF995C2"/>
    <w:rsid w:val="7BFA04FB"/>
    <w:rsid w:val="7BFD05C1"/>
    <w:rsid w:val="7BFE1E5F"/>
    <w:rsid w:val="7BFE3606"/>
    <w:rsid w:val="7BFE3993"/>
    <w:rsid w:val="7BFF0223"/>
    <w:rsid w:val="7BFFDE22"/>
    <w:rsid w:val="7C467255"/>
    <w:rsid w:val="7C6868F6"/>
    <w:rsid w:val="7CA3E458"/>
    <w:rsid w:val="7CFF0208"/>
    <w:rsid w:val="7D1B611F"/>
    <w:rsid w:val="7D1B75C7"/>
    <w:rsid w:val="7D29B8F4"/>
    <w:rsid w:val="7D37659E"/>
    <w:rsid w:val="7D3FA1F1"/>
    <w:rsid w:val="7D537164"/>
    <w:rsid w:val="7D5F1A98"/>
    <w:rsid w:val="7D6B5FD8"/>
    <w:rsid w:val="7D777D20"/>
    <w:rsid w:val="7D7F2F51"/>
    <w:rsid w:val="7D7F9B2D"/>
    <w:rsid w:val="7D7FCA1B"/>
    <w:rsid w:val="7DAD73BF"/>
    <w:rsid w:val="7DBDD888"/>
    <w:rsid w:val="7DBDF3A2"/>
    <w:rsid w:val="7DBFB9E4"/>
    <w:rsid w:val="7DD77610"/>
    <w:rsid w:val="7DD9191B"/>
    <w:rsid w:val="7DDE68F4"/>
    <w:rsid w:val="7DEBB4DB"/>
    <w:rsid w:val="7DF52AFC"/>
    <w:rsid w:val="7DF62772"/>
    <w:rsid w:val="7DFD75E8"/>
    <w:rsid w:val="7DFF016C"/>
    <w:rsid w:val="7DFF2BC0"/>
    <w:rsid w:val="7DFF6E22"/>
    <w:rsid w:val="7DFF9ECD"/>
    <w:rsid w:val="7DFFC3EA"/>
    <w:rsid w:val="7DFFCF97"/>
    <w:rsid w:val="7E32FC9F"/>
    <w:rsid w:val="7E5E11FF"/>
    <w:rsid w:val="7E6587D2"/>
    <w:rsid w:val="7E7251F7"/>
    <w:rsid w:val="7E7F22CA"/>
    <w:rsid w:val="7E9DFCE4"/>
    <w:rsid w:val="7EA56C0A"/>
    <w:rsid w:val="7EBEC584"/>
    <w:rsid w:val="7EC7E849"/>
    <w:rsid w:val="7ECB6E9A"/>
    <w:rsid w:val="7ECBE1C0"/>
    <w:rsid w:val="7ECF3E4C"/>
    <w:rsid w:val="7EDB7742"/>
    <w:rsid w:val="7EDDA93F"/>
    <w:rsid w:val="7EDE4789"/>
    <w:rsid w:val="7EE71FD8"/>
    <w:rsid w:val="7EEDB630"/>
    <w:rsid w:val="7EEDFEF8"/>
    <w:rsid w:val="7EF7322D"/>
    <w:rsid w:val="7EF937B5"/>
    <w:rsid w:val="7EFA0E38"/>
    <w:rsid w:val="7EFAF087"/>
    <w:rsid w:val="7EFCCF1C"/>
    <w:rsid w:val="7EFD789C"/>
    <w:rsid w:val="7EFEF447"/>
    <w:rsid w:val="7EFF833F"/>
    <w:rsid w:val="7EFFB9F3"/>
    <w:rsid w:val="7F0D50B3"/>
    <w:rsid w:val="7F2B1043"/>
    <w:rsid w:val="7F3E1064"/>
    <w:rsid w:val="7F51F660"/>
    <w:rsid w:val="7F5E7FD0"/>
    <w:rsid w:val="7F665016"/>
    <w:rsid w:val="7F6BC0EB"/>
    <w:rsid w:val="7F6F0D4B"/>
    <w:rsid w:val="7F7798A9"/>
    <w:rsid w:val="7F7A001D"/>
    <w:rsid w:val="7F7D58EC"/>
    <w:rsid w:val="7F9B3CC4"/>
    <w:rsid w:val="7F9BA6DA"/>
    <w:rsid w:val="7F9BE0C6"/>
    <w:rsid w:val="7F9CB97E"/>
    <w:rsid w:val="7F9F5F5D"/>
    <w:rsid w:val="7FA55F14"/>
    <w:rsid w:val="7FAD6302"/>
    <w:rsid w:val="7FADB2F2"/>
    <w:rsid w:val="7FAFC22B"/>
    <w:rsid w:val="7FAFD8AE"/>
    <w:rsid w:val="7FB1066C"/>
    <w:rsid w:val="7FBD528D"/>
    <w:rsid w:val="7FBF2851"/>
    <w:rsid w:val="7FBF52FA"/>
    <w:rsid w:val="7FCE1B22"/>
    <w:rsid w:val="7FCE856F"/>
    <w:rsid w:val="7FD7F2C3"/>
    <w:rsid w:val="7FDDE75E"/>
    <w:rsid w:val="7FDDF82D"/>
    <w:rsid w:val="7FDEED40"/>
    <w:rsid w:val="7FDF88C8"/>
    <w:rsid w:val="7FDF9E75"/>
    <w:rsid w:val="7FE96AEB"/>
    <w:rsid w:val="7FEAF7C8"/>
    <w:rsid w:val="7FED58F0"/>
    <w:rsid w:val="7FEDF516"/>
    <w:rsid w:val="7FEF6379"/>
    <w:rsid w:val="7FEFBD74"/>
    <w:rsid w:val="7FF1CCFD"/>
    <w:rsid w:val="7FF2C121"/>
    <w:rsid w:val="7FF2E7B6"/>
    <w:rsid w:val="7FF3A546"/>
    <w:rsid w:val="7FF466F8"/>
    <w:rsid w:val="7FF76FD9"/>
    <w:rsid w:val="7FF8A554"/>
    <w:rsid w:val="7FFB1619"/>
    <w:rsid w:val="7FFB1B18"/>
    <w:rsid w:val="7FFB6CF2"/>
    <w:rsid w:val="7FFBB370"/>
    <w:rsid w:val="7FFBDEB3"/>
    <w:rsid w:val="7FFBE8C3"/>
    <w:rsid w:val="7FFD0247"/>
    <w:rsid w:val="7FFD9E7F"/>
    <w:rsid w:val="7FFE4C40"/>
    <w:rsid w:val="7FFE9B66"/>
    <w:rsid w:val="7FFEAEB2"/>
    <w:rsid w:val="7FFF098D"/>
    <w:rsid w:val="7FFF1B77"/>
    <w:rsid w:val="7FFF823D"/>
    <w:rsid w:val="7FFF8DD5"/>
    <w:rsid w:val="7FFFACD9"/>
    <w:rsid w:val="7FFFEA44"/>
    <w:rsid w:val="7FFFEB13"/>
    <w:rsid w:val="873F2367"/>
    <w:rsid w:val="87E37222"/>
    <w:rsid w:val="87F58E04"/>
    <w:rsid w:val="87FBCE91"/>
    <w:rsid w:val="8C2FC89F"/>
    <w:rsid w:val="8DBB8C69"/>
    <w:rsid w:val="8DBF2DAB"/>
    <w:rsid w:val="8DF7E567"/>
    <w:rsid w:val="8DFCED13"/>
    <w:rsid w:val="8F7FD523"/>
    <w:rsid w:val="8FF6336C"/>
    <w:rsid w:val="93BB002C"/>
    <w:rsid w:val="95BBBF05"/>
    <w:rsid w:val="97EB8706"/>
    <w:rsid w:val="97F9C43A"/>
    <w:rsid w:val="97FD30D2"/>
    <w:rsid w:val="99FF66DC"/>
    <w:rsid w:val="9ADEACC6"/>
    <w:rsid w:val="9AFDC703"/>
    <w:rsid w:val="9BEFEE94"/>
    <w:rsid w:val="9BF4E827"/>
    <w:rsid w:val="9CCF3C06"/>
    <w:rsid w:val="9CFC54A4"/>
    <w:rsid w:val="9D4B5CFF"/>
    <w:rsid w:val="9D7EC945"/>
    <w:rsid w:val="9DFB82F2"/>
    <w:rsid w:val="9DFBBF00"/>
    <w:rsid w:val="9DFD7F02"/>
    <w:rsid w:val="9EBE06CB"/>
    <w:rsid w:val="9EEDE54E"/>
    <w:rsid w:val="9F7AEAA1"/>
    <w:rsid w:val="9FAB4846"/>
    <w:rsid w:val="9FE570EB"/>
    <w:rsid w:val="9FF679E8"/>
    <w:rsid w:val="9FF7B09C"/>
    <w:rsid w:val="9FFF221C"/>
    <w:rsid w:val="A2F78CFC"/>
    <w:rsid w:val="A3CBDFC8"/>
    <w:rsid w:val="A73E038E"/>
    <w:rsid w:val="A77D2175"/>
    <w:rsid w:val="A7B744C9"/>
    <w:rsid w:val="A7B768D4"/>
    <w:rsid w:val="A7DE5007"/>
    <w:rsid w:val="A997B4BA"/>
    <w:rsid w:val="AB4FAF26"/>
    <w:rsid w:val="ABD7D01E"/>
    <w:rsid w:val="AD5F5AE9"/>
    <w:rsid w:val="AE3B9083"/>
    <w:rsid w:val="AEBFF6B3"/>
    <w:rsid w:val="AEDC39A7"/>
    <w:rsid w:val="AF7FF347"/>
    <w:rsid w:val="AFDBA861"/>
    <w:rsid w:val="AFEB725E"/>
    <w:rsid w:val="AFEFC385"/>
    <w:rsid w:val="AFF3EB17"/>
    <w:rsid w:val="AFFE85F6"/>
    <w:rsid w:val="B123ED82"/>
    <w:rsid w:val="B26D741F"/>
    <w:rsid w:val="B27E86DD"/>
    <w:rsid w:val="B3AE757F"/>
    <w:rsid w:val="B3D5ED69"/>
    <w:rsid w:val="B3DF65CD"/>
    <w:rsid w:val="B4EBC685"/>
    <w:rsid w:val="B62F3C99"/>
    <w:rsid w:val="B67F2D2E"/>
    <w:rsid w:val="B67F70E6"/>
    <w:rsid w:val="B716C012"/>
    <w:rsid w:val="B71FEFE4"/>
    <w:rsid w:val="B73B04F4"/>
    <w:rsid w:val="B74FD013"/>
    <w:rsid w:val="B76CDFBF"/>
    <w:rsid w:val="B7732ACD"/>
    <w:rsid w:val="B776E718"/>
    <w:rsid w:val="B7966643"/>
    <w:rsid w:val="B7BF0502"/>
    <w:rsid w:val="B7BFD0B0"/>
    <w:rsid w:val="B7DF96D7"/>
    <w:rsid w:val="B7F3BF01"/>
    <w:rsid w:val="B7FBAFCB"/>
    <w:rsid w:val="B7FDBD6C"/>
    <w:rsid w:val="B7FDC13C"/>
    <w:rsid w:val="B7FFAF66"/>
    <w:rsid w:val="B7FFC4BC"/>
    <w:rsid w:val="B9EED96B"/>
    <w:rsid w:val="B9F6CDB9"/>
    <w:rsid w:val="BA7B23C6"/>
    <w:rsid w:val="BB4F1FC7"/>
    <w:rsid w:val="BBD7320C"/>
    <w:rsid w:val="BBDF14C1"/>
    <w:rsid w:val="BBDF30A3"/>
    <w:rsid w:val="BBEE2559"/>
    <w:rsid w:val="BBF05C91"/>
    <w:rsid w:val="BBF49246"/>
    <w:rsid w:val="BBFF2A58"/>
    <w:rsid w:val="BC264A84"/>
    <w:rsid w:val="BC3FD027"/>
    <w:rsid w:val="BCB78241"/>
    <w:rsid w:val="BCEF521C"/>
    <w:rsid w:val="BD7F318E"/>
    <w:rsid w:val="BDFF8902"/>
    <w:rsid w:val="BE6B7A87"/>
    <w:rsid w:val="BE6FDF43"/>
    <w:rsid w:val="BEBCD655"/>
    <w:rsid w:val="BEFFB47D"/>
    <w:rsid w:val="BF0F6FD7"/>
    <w:rsid w:val="BF316968"/>
    <w:rsid w:val="BF365B28"/>
    <w:rsid w:val="BF3F14BA"/>
    <w:rsid w:val="BF553B8F"/>
    <w:rsid w:val="BF5FE9F9"/>
    <w:rsid w:val="BF77873B"/>
    <w:rsid w:val="BF7F28E8"/>
    <w:rsid w:val="BF9B07E2"/>
    <w:rsid w:val="BF9ED6E1"/>
    <w:rsid w:val="BFBB481C"/>
    <w:rsid w:val="BFBD7E86"/>
    <w:rsid w:val="BFBDA870"/>
    <w:rsid w:val="BFBFFB08"/>
    <w:rsid w:val="BFD7D7E7"/>
    <w:rsid w:val="BFE54D23"/>
    <w:rsid w:val="BFE7C1F9"/>
    <w:rsid w:val="BFEA7F24"/>
    <w:rsid w:val="BFED6A56"/>
    <w:rsid w:val="BFEF3C36"/>
    <w:rsid w:val="BFFABAEC"/>
    <w:rsid w:val="BFFDD1B2"/>
    <w:rsid w:val="BFFE9CA0"/>
    <w:rsid w:val="BFFF2FF2"/>
    <w:rsid w:val="BFFF5DF2"/>
    <w:rsid w:val="BFFFECF9"/>
    <w:rsid w:val="C3BEF75D"/>
    <w:rsid w:val="C3F1FDBC"/>
    <w:rsid w:val="C63F578B"/>
    <w:rsid w:val="C7EABC8D"/>
    <w:rsid w:val="C7FB1EEB"/>
    <w:rsid w:val="C8E74F1F"/>
    <w:rsid w:val="CA6927F6"/>
    <w:rsid w:val="CAF71F76"/>
    <w:rsid w:val="CB4771F0"/>
    <w:rsid w:val="CBB7FD85"/>
    <w:rsid w:val="CBFC8F54"/>
    <w:rsid w:val="CBFF6AA5"/>
    <w:rsid w:val="CBFFB55F"/>
    <w:rsid w:val="CCF32DF9"/>
    <w:rsid w:val="CCFDAF11"/>
    <w:rsid w:val="CD3EDDE9"/>
    <w:rsid w:val="CDAFA1B6"/>
    <w:rsid w:val="CDF7B6F7"/>
    <w:rsid w:val="CEDD011D"/>
    <w:rsid w:val="CF7B8690"/>
    <w:rsid w:val="CF9FFC4E"/>
    <w:rsid w:val="CFBD1443"/>
    <w:rsid w:val="CFBFBC57"/>
    <w:rsid w:val="CFBFEBCE"/>
    <w:rsid w:val="CFCC0F59"/>
    <w:rsid w:val="CFDD5F02"/>
    <w:rsid w:val="CFDFCB78"/>
    <w:rsid w:val="CFFBE5EF"/>
    <w:rsid w:val="CFFF7263"/>
    <w:rsid w:val="CFFF8AF5"/>
    <w:rsid w:val="D2B581B6"/>
    <w:rsid w:val="D3E6F3D1"/>
    <w:rsid w:val="D3ECB4D2"/>
    <w:rsid w:val="D3F8BC14"/>
    <w:rsid w:val="D3FB427F"/>
    <w:rsid w:val="D4BDC646"/>
    <w:rsid w:val="D4DF9AF4"/>
    <w:rsid w:val="D50BB92C"/>
    <w:rsid w:val="D6B9DBA1"/>
    <w:rsid w:val="D725CC57"/>
    <w:rsid w:val="D77F9026"/>
    <w:rsid w:val="D7ABD317"/>
    <w:rsid w:val="D7BF5060"/>
    <w:rsid w:val="D7DF4EB6"/>
    <w:rsid w:val="D7F52B14"/>
    <w:rsid w:val="D7F742A0"/>
    <w:rsid w:val="D7FF66BC"/>
    <w:rsid w:val="D9CFCF4C"/>
    <w:rsid w:val="DA751D95"/>
    <w:rsid w:val="DAFB8F32"/>
    <w:rsid w:val="DBDE2B1A"/>
    <w:rsid w:val="DBF7504A"/>
    <w:rsid w:val="DC9FFEEF"/>
    <w:rsid w:val="DCBF6F36"/>
    <w:rsid w:val="DD8FFA89"/>
    <w:rsid w:val="DDBBDB98"/>
    <w:rsid w:val="DDBFB180"/>
    <w:rsid w:val="DDD1160D"/>
    <w:rsid w:val="DDD55C8D"/>
    <w:rsid w:val="DDDFE22C"/>
    <w:rsid w:val="DDF7C566"/>
    <w:rsid w:val="DDFA0B5F"/>
    <w:rsid w:val="DDFC3E34"/>
    <w:rsid w:val="DDFF54B9"/>
    <w:rsid w:val="DE7F5CED"/>
    <w:rsid w:val="DED4FD5F"/>
    <w:rsid w:val="DEDB4285"/>
    <w:rsid w:val="DEDE60B3"/>
    <w:rsid w:val="DF3012C2"/>
    <w:rsid w:val="DF7F86F0"/>
    <w:rsid w:val="DFAA26FA"/>
    <w:rsid w:val="DFAABAD9"/>
    <w:rsid w:val="DFAF469F"/>
    <w:rsid w:val="DFBB3252"/>
    <w:rsid w:val="DFBB9F7F"/>
    <w:rsid w:val="DFDD2829"/>
    <w:rsid w:val="DFDF14DA"/>
    <w:rsid w:val="DFEB4ADC"/>
    <w:rsid w:val="DFEE059F"/>
    <w:rsid w:val="DFEF53FF"/>
    <w:rsid w:val="DFEFD79F"/>
    <w:rsid w:val="DFF54F0B"/>
    <w:rsid w:val="DFF64D98"/>
    <w:rsid w:val="DFF69F18"/>
    <w:rsid w:val="DFF76C8A"/>
    <w:rsid w:val="DFF7B0DA"/>
    <w:rsid w:val="DFF7E9E8"/>
    <w:rsid w:val="DFF9F767"/>
    <w:rsid w:val="DFFC09EF"/>
    <w:rsid w:val="DFFCCCAF"/>
    <w:rsid w:val="DFFE1F70"/>
    <w:rsid w:val="DFFE5B1C"/>
    <w:rsid w:val="DFFF0AE5"/>
    <w:rsid w:val="E0BEF5FE"/>
    <w:rsid w:val="E0ED578B"/>
    <w:rsid w:val="E12AFDFF"/>
    <w:rsid w:val="E193FCB0"/>
    <w:rsid w:val="E34FD4A1"/>
    <w:rsid w:val="E3781F85"/>
    <w:rsid w:val="E3BFE22E"/>
    <w:rsid w:val="E3FD1765"/>
    <w:rsid w:val="E3FFDBC9"/>
    <w:rsid w:val="E5661D9A"/>
    <w:rsid w:val="E57F872D"/>
    <w:rsid w:val="E5A7B141"/>
    <w:rsid w:val="E5BD388A"/>
    <w:rsid w:val="E6EDA30E"/>
    <w:rsid w:val="E72F5F90"/>
    <w:rsid w:val="E7BE3E0D"/>
    <w:rsid w:val="E7F9E723"/>
    <w:rsid w:val="E7FF084A"/>
    <w:rsid w:val="E95F1409"/>
    <w:rsid w:val="E9AF9C09"/>
    <w:rsid w:val="E9EF7FE5"/>
    <w:rsid w:val="E9F71EFB"/>
    <w:rsid w:val="E9FF6EF3"/>
    <w:rsid w:val="EAAC3EB5"/>
    <w:rsid w:val="EAFA3654"/>
    <w:rsid w:val="EB3D8B80"/>
    <w:rsid w:val="EB630EBA"/>
    <w:rsid w:val="EB778B1D"/>
    <w:rsid w:val="EB7E38DB"/>
    <w:rsid w:val="EB7EF5CE"/>
    <w:rsid w:val="EBEB68DB"/>
    <w:rsid w:val="EBEBABF3"/>
    <w:rsid w:val="EBEF02E9"/>
    <w:rsid w:val="EBFF74ED"/>
    <w:rsid w:val="ECAE8611"/>
    <w:rsid w:val="ECFE61CD"/>
    <w:rsid w:val="EDAD9FE1"/>
    <w:rsid w:val="EDB3C70E"/>
    <w:rsid w:val="EDBD3C6D"/>
    <w:rsid w:val="EDFDF947"/>
    <w:rsid w:val="EE3FBE71"/>
    <w:rsid w:val="EE5AE784"/>
    <w:rsid w:val="EED7322C"/>
    <w:rsid w:val="EEE75479"/>
    <w:rsid w:val="EEE7E45A"/>
    <w:rsid w:val="EEEF0CC4"/>
    <w:rsid w:val="EEF7D7B6"/>
    <w:rsid w:val="EEFAAE2E"/>
    <w:rsid w:val="EEFF24E7"/>
    <w:rsid w:val="EF1A008B"/>
    <w:rsid w:val="EF5234AB"/>
    <w:rsid w:val="EF674A23"/>
    <w:rsid w:val="EF6D9896"/>
    <w:rsid w:val="EF6FD684"/>
    <w:rsid w:val="EF76603B"/>
    <w:rsid w:val="EF7DF2C9"/>
    <w:rsid w:val="EF979208"/>
    <w:rsid w:val="EFBD8C0D"/>
    <w:rsid w:val="EFD94F28"/>
    <w:rsid w:val="EFDF930C"/>
    <w:rsid w:val="EFEC3E7E"/>
    <w:rsid w:val="EFF753FC"/>
    <w:rsid w:val="EFF7FF7B"/>
    <w:rsid w:val="EFFB985C"/>
    <w:rsid w:val="EFFBF25A"/>
    <w:rsid w:val="EFFE1556"/>
    <w:rsid w:val="EFFEC131"/>
    <w:rsid w:val="EFFF0ABE"/>
    <w:rsid w:val="EFFF1C17"/>
    <w:rsid w:val="EFFF2DB9"/>
    <w:rsid w:val="EFFFA4C1"/>
    <w:rsid w:val="F07B02ED"/>
    <w:rsid w:val="F179EDFF"/>
    <w:rsid w:val="F1DDACF0"/>
    <w:rsid w:val="F1FBABB2"/>
    <w:rsid w:val="F33FAD89"/>
    <w:rsid w:val="F38D895D"/>
    <w:rsid w:val="F38F16EA"/>
    <w:rsid w:val="F38F186B"/>
    <w:rsid w:val="F3989A5D"/>
    <w:rsid w:val="F3FF623D"/>
    <w:rsid w:val="F4FFB520"/>
    <w:rsid w:val="F57D8FFC"/>
    <w:rsid w:val="F58EE4A3"/>
    <w:rsid w:val="F5BFA0FC"/>
    <w:rsid w:val="F5DFDE62"/>
    <w:rsid w:val="F5FF9CB3"/>
    <w:rsid w:val="F5FFC33A"/>
    <w:rsid w:val="F5FFFF6C"/>
    <w:rsid w:val="F6796185"/>
    <w:rsid w:val="F6B672CF"/>
    <w:rsid w:val="F6BA26BB"/>
    <w:rsid w:val="F6BD5949"/>
    <w:rsid w:val="F6BF08BC"/>
    <w:rsid w:val="F6E5B0A1"/>
    <w:rsid w:val="F6EC5204"/>
    <w:rsid w:val="F6FB4208"/>
    <w:rsid w:val="F71E3250"/>
    <w:rsid w:val="F74F3FE6"/>
    <w:rsid w:val="F757DABA"/>
    <w:rsid w:val="F76867D3"/>
    <w:rsid w:val="F774A2D9"/>
    <w:rsid w:val="F776E6BD"/>
    <w:rsid w:val="F77BA196"/>
    <w:rsid w:val="F77BE26B"/>
    <w:rsid w:val="F77E5F01"/>
    <w:rsid w:val="F789B3EC"/>
    <w:rsid w:val="F7D7491E"/>
    <w:rsid w:val="F7DF0467"/>
    <w:rsid w:val="F7DF3E0F"/>
    <w:rsid w:val="F7DF990C"/>
    <w:rsid w:val="F7E79C77"/>
    <w:rsid w:val="F7EF4DC4"/>
    <w:rsid w:val="F7F51FB6"/>
    <w:rsid w:val="F7F59CA2"/>
    <w:rsid w:val="F7FAC39F"/>
    <w:rsid w:val="F7FBB236"/>
    <w:rsid w:val="F7FDBA90"/>
    <w:rsid w:val="F7FF3140"/>
    <w:rsid w:val="F7FF35EB"/>
    <w:rsid w:val="F7FF57A1"/>
    <w:rsid w:val="F7FFEF49"/>
    <w:rsid w:val="F83F20D9"/>
    <w:rsid w:val="F89D64E5"/>
    <w:rsid w:val="F8BFBC5B"/>
    <w:rsid w:val="F9BF2944"/>
    <w:rsid w:val="F9C9E325"/>
    <w:rsid w:val="F9CF2D84"/>
    <w:rsid w:val="F9CF5629"/>
    <w:rsid w:val="F9CF8CB2"/>
    <w:rsid w:val="F9FD270A"/>
    <w:rsid w:val="F9FD9A11"/>
    <w:rsid w:val="FA578874"/>
    <w:rsid w:val="FA5DA317"/>
    <w:rsid w:val="FA77AD31"/>
    <w:rsid w:val="FA7A06FB"/>
    <w:rsid w:val="FAB5DA93"/>
    <w:rsid w:val="FAB9434F"/>
    <w:rsid w:val="FADF7B94"/>
    <w:rsid w:val="FAF41D82"/>
    <w:rsid w:val="FAF7BB89"/>
    <w:rsid w:val="FAF7F199"/>
    <w:rsid w:val="FAFF1443"/>
    <w:rsid w:val="FAFFE1E7"/>
    <w:rsid w:val="FB3BD7B7"/>
    <w:rsid w:val="FB45FB54"/>
    <w:rsid w:val="FB5773BD"/>
    <w:rsid w:val="FB6E079A"/>
    <w:rsid w:val="FB6F31DC"/>
    <w:rsid w:val="FB7E255A"/>
    <w:rsid w:val="FB9F38C8"/>
    <w:rsid w:val="FBAFF53D"/>
    <w:rsid w:val="FBB17742"/>
    <w:rsid w:val="FBB740D6"/>
    <w:rsid w:val="FBBB5812"/>
    <w:rsid w:val="FBBE4B7D"/>
    <w:rsid w:val="FBBFDEB5"/>
    <w:rsid w:val="FBCF49C9"/>
    <w:rsid w:val="FBD0F14A"/>
    <w:rsid w:val="FBD7E3D2"/>
    <w:rsid w:val="FBDDB9D0"/>
    <w:rsid w:val="FBDFF431"/>
    <w:rsid w:val="FBECDCEC"/>
    <w:rsid w:val="FBEFC1A5"/>
    <w:rsid w:val="FBF84A73"/>
    <w:rsid w:val="FBFBB1F0"/>
    <w:rsid w:val="FBFEAB76"/>
    <w:rsid w:val="FBFF58AD"/>
    <w:rsid w:val="FBFF5CEB"/>
    <w:rsid w:val="FCDA06CE"/>
    <w:rsid w:val="FCF6771E"/>
    <w:rsid w:val="FD25C6EC"/>
    <w:rsid w:val="FD338641"/>
    <w:rsid w:val="FD763298"/>
    <w:rsid w:val="FD76E171"/>
    <w:rsid w:val="FD7BF2B5"/>
    <w:rsid w:val="FDAB3BD5"/>
    <w:rsid w:val="FDABA8D4"/>
    <w:rsid w:val="FDBEBEE5"/>
    <w:rsid w:val="FDBF4614"/>
    <w:rsid w:val="FDCC6600"/>
    <w:rsid w:val="FDD7A529"/>
    <w:rsid w:val="FDE2712A"/>
    <w:rsid w:val="FDEA2A97"/>
    <w:rsid w:val="FDEA71BE"/>
    <w:rsid w:val="FDEB9D08"/>
    <w:rsid w:val="FDEF5190"/>
    <w:rsid w:val="FDFA3D90"/>
    <w:rsid w:val="FDFB12E0"/>
    <w:rsid w:val="FDFB6163"/>
    <w:rsid w:val="FDFB96C3"/>
    <w:rsid w:val="FDFD5976"/>
    <w:rsid w:val="FDFD8B31"/>
    <w:rsid w:val="FDFDBD3D"/>
    <w:rsid w:val="FDFE3986"/>
    <w:rsid w:val="FDFF36CA"/>
    <w:rsid w:val="FDFF62FA"/>
    <w:rsid w:val="FDFFA753"/>
    <w:rsid w:val="FDFFB0B4"/>
    <w:rsid w:val="FDFFF6C8"/>
    <w:rsid w:val="FDFFF8E1"/>
    <w:rsid w:val="FE1DC3BE"/>
    <w:rsid w:val="FE2F6922"/>
    <w:rsid w:val="FE371A14"/>
    <w:rsid w:val="FE385D03"/>
    <w:rsid w:val="FE6DC61D"/>
    <w:rsid w:val="FE734873"/>
    <w:rsid w:val="FE7B7CB0"/>
    <w:rsid w:val="FE7BE0C5"/>
    <w:rsid w:val="FE7DD4A8"/>
    <w:rsid w:val="FE7E617C"/>
    <w:rsid w:val="FE7F476B"/>
    <w:rsid w:val="FE7FAECD"/>
    <w:rsid w:val="FEAC7370"/>
    <w:rsid w:val="FEAE9CE3"/>
    <w:rsid w:val="FEB0CEE1"/>
    <w:rsid w:val="FEB93B9F"/>
    <w:rsid w:val="FEB95996"/>
    <w:rsid w:val="FEBD97DD"/>
    <w:rsid w:val="FEBEB442"/>
    <w:rsid w:val="FEBFBCEB"/>
    <w:rsid w:val="FED585C1"/>
    <w:rsid w:val="FEDA6622"/>
    <w:rsid w:val="FEDAE4E9"/>
    <w:rsid w:val="FEDB385D"/>
    <w:rsid w:val="FEDD18A4"/>
    <w:rsid w:val="FEDD1A25"/>
    <w:rsid w:val="FEDDD94B"/>
    <w:rsid w:val="FEDE6D1A"/>
    <w:rsid w:val="FEDED161"/>
    <w:rsid w:val="FEDEF757"/>
    <w:rsid w:val="FEF25468"/>
    <w:rsid w:val="FEF2C5DD"/>
    <w:rsid w:val="FEFBB443"/>
    <w:rsid w:val="FEFF3BD8"/>
    <w:rsid w:val="FEFF4BDE"/>
    <w:rsid w:val="FF1F1C87"/>
    <w:rsid w:val="FF46A45C"/>
    <w:rsid w:val="FF535C70"/>
    <w:rsid w:val="FF5E4143"/>
    <w:rsid w:val="FF5F1220"/>
    <w:rsid w:val="FF651BB2"/>
    <w:rsid w:val="FF67353A"/>
    <w:rsid w:val="FF6FD029"/>
    <w:rsid w:val="FF739FF2"/>
    <w:rsid w:val="FF7D5EED"/>
    <w:rsid w:val="FF7D6AAA"/>
    <w:rsid w:val="FF7DDA22"/>
    <w:rsid w:val="FF7E0CC2"/>
    <w:rsid w:val="FF7F4DD3"/>
    <w:rsid w:val="FF7FBF71"/>
    <w:rsid w:val="FF9F03B1"/>
    <w:rsid w:val="FFA2837A"/>
    <w:rsid w:val="FFA7996E"/>
    <w:rsid w:val="FFB304CA"/>
    <w:rsid w:val="FFB84D92"/>
    <w:rsid w:val="FFBABDB3"/>
    <w:rsid w:val="FFBB677F"/>
    <w:rsid w:val="FFBBB7CE"/>
    <w:rsid w:val="FFBBF442"/>
    <w:rsid w:val="FFBE9C65"/>
    <w:rsid w:val="FFC7BB48"/>
    <w:rsid w:val="FFCB2B9F"/>
    <w:rsid w:val="FFCE067E"/>
    <w:rsid w:val="FFCE6374"/>
    <w:rsid w:val="FFCFFAE9"/>
    <w:rsid w:val="FFD9E737"/>
    <w:rsid w:val="FFD9F61A"/>
    <w:rsid w:val="FFDACAA4"/>
    <w:rsid w:val="FFDC7D7F"/>
    <w:rsid w:val="FFDF54A2"/>
    <w:rsid w:val="FFDF7796"/>
    <w:rsid w:val="FFDF8467"/>
    <w:rsid w:val="FFE62A73"/>
    <w:rsid w:val="FFE77AA5"/>
    <w:rsid w:val="FFEF51E1"/>
    <w:rsid w:val="FFEF7F66"/>
    <w:rsid w:val="FFF1189D"/>
    <w:rsid w:val="FFF233FE"/>
    <w:rsid w:val="FFF3DBEC"/>
    <w:rsid w:val="FFF3E60C"/>
    <w:rsid w:val="FFF78610"/>
    <w:rsid w:val="FFF79241"/>
    <w:rsid w:val="FFF7B52C"/>
    <w:rsid w:val="FFF7CA8A"/>
    <w:rsid w:val="FFF7EE7B"/>
    <w:rsid w:val="FFF98EA3"/>
    <w:rsid w:val="FFFB4A55"/>
    <w:rsid w:val="FFFB6463"/>
    <w:rsid w:val="FFFB7641"/>
    <w:rsid w:val="FFFB78C3"/>
    <w:rsid w:val="FFFBC9D5"/>
    <w:rsid w:val="FFFC7256"/>
    <w:rsid w:val="FFFCB26E"/>
    <w:rsid w:val="FFFD5D28"/>
    <w:rsid w:val="FFFE0039"/>
    <w:rsid w:val="FFFE3143"/>
    <w:rsid w:val="FFFEB62D"/>
    <w:rsid w:val="FFFF03D6"/>
    <w:rsid w:val="FFFF4E3B"/>
    <w:rsid w:val="FFFF6DF3"/>
    <w:rsid w:val="FFFFAC55"/>
    <w:rsid w:val="FFFFAFF9"/>
    <w:rsid w:val="FFFFCDFD"/>
    <w:rsid w:val="FFFFF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toc 1"/>
    <w:basedOn w:val="1"/>
    <w:next w:val="1"/>
    <w:unhideWhenUsed/>
    <w:qFormat/>
    <w:uiPriority w:val="0"/>
    <w:rPr>
      <w:rFonts w:ascii="Calibri" w:hAnsi="Calibri" w:eastAsia="宋体"/>
      <w:sz w:val="21"/>
    </w:rPr>
  </w:style>
  <w:style w:type="paragraph" w:styleId="3">
    <w:name w:val="Normal Indent"/>
    <w:basedOn w:val="1"/>
    <w:unhideWhenUsed/>
    <w:qFormat/>
    <w:uiPriority w:val="99"/>
    <w:pPr>
      <w:spacing w:line="360" w:lineRule="auto"/>
      <w:ind w:firstLine="420" w:firstLineChars="200"/>
    </w:pPr>
    <w:rPr>
      <w:rFonts w:ascii="仿宋" w:hAnsi="仿宋" w:eastAsia="仿宋" w:cs="仿宋"/>
    </w:rPr>
  </w:style>
  <w:style w:type="paragraph" w:styleId="4">
    <w:name w:val="Body Text"/>
    <w:basedOn w:val="1"/>
    <w:qFormat/>
    <w:uiPriority w:val="0"/>
    <w:pPr>
      <w:spacing w:after="120"/>
    </w:pPr>
  </w:style>
  <w:style w:type="paragraph" w:styleId="5">
    <w:name w:val="Date"/>
    <w:basedOn w:val="1"/>
    <w:next w:val="1"/>
    <w:qFormat/>
    <w:uiPriority w:val="0"/>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0"/>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Autospacing="1" w:afterAutospacing="1"/>
      <w:jc w:val="left"/>
    </w:pPr>
    <w:rPr>
      <w:kern w:val="0"/>
      <w:sz w:val="24"/>
    </w:rPr>
  </w:style>
  <w:style w:type="character" w:styleId="11">
    <w:name w:val="Strong"/>
    <w:basedOn w:val="10"/>
    <w:qFormat/>
    <w:uiPriority w:val="22"/>
    <w:rPr>
      <w:b/>
    </w:rPr>
  </w:style>
  <w:style w:type="character" w:styleId="12">
    <w:name w:val="page number"/>
    <w:basedOn w:val="10"/>
    <w:qFormat/>
    <w:uiPriority w:val="0"/>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5">
    <w:name w:val="_Style 5"/>
    <w:basedOn w:val="1"/>
    <w:qFormat/>
    <w:uiPriority w:val="0"/>
    <w:pPr>
      <w:widowControl/>
      <w:spacing w:after="160" w:line="240" w:lineRule="exact"/>
      <w:jc w:val="left"/>
    </w:pPr>
    <w:rPr>
      <w:rFonts w:ascii="Verdana" w:hAnsi="Verdana"/>
      <w:kern w:val="0"/>
      <w:sz w:val="20"/>
      <w:lang w:eastAsia="en-US"/>
    </w:rPr>
  </w:style>
  <w:style w:type="character" w:customStyle="1" w:styleId="16">
    <w:name w:val="页眉 字符"/>
    <w:basedOn w:val="10"/>
    <w:link w:val="8"/>
    <w:qFormat/>
    <w:uiPriority w:val="99"/>
    <w:rPr>
      <w:sz w:val="18"/>
      <w:szCs w:val="18"/>
    </w:rPr>
  </w:style>
  <w:style w:type="character" w:customStyle="1" w:styleId="17">
    <w:name w:val="页脚 字符"/>
    <w:basedOn w:val="10"/>
    <w:link w:val="7"/>
    <w:qFormat/>
    <w:uiPriority w:val="99"/>
    <w:rPr>
      <w:sz w:val="18"/>
      <w:szCs w:val="18"/>
    </w:rPr>
  </w:style>
  <w:style w:type="paragraph" w:styleId="18">
    <w:name w:val="List Paragraph"/>
    <w:basedOn w:val="1"/>
    <w:qFormat/>
    <w:uiPriority w:val="34"/>
    <w:pPr>
      <w:ind w:firstLine="420" w:firstLineChars="200"/>
    </w:pPr>
    <w:rPr>
      <w:rFonts w:ascii="Calibri" w:hAnsi="Calibri"/>
      <w:sz w:val="21"/>
      <w:szCs w:val="22"/>
    </w:rPr>
  </w:style>
  <w:style w:type="character" w:customStyle="1" w:styleId="19">
    <w:name w:val="批注框文本 字符"/>
    <w:basedOn w:val="10"/>
    <w:link w:val="6"/>
    <w:semiHidden/>
    <w:qFormat/>
    <w:uiPriority w:val="99"/>
    <w:rPr>
      <w:rFonts w:ascii="Times New Roman" w:hAnsi="Times New Roman" w:eastAsia="宋体" w:cs="Times New Roman"/>
      <w:sz w:val="18"/>
      <w:szCs w:val="18"/>
    </w:rPr>
  </w:style>
  <w:style w:type="character" w:customStyle="1" w:styleId="20">
    <w:name w:val="font161"/>
    <w:basedOn w:val="10"/>
    <w:qFormat/>
    <w:uiPriority w:val="0"/>
    <w:rPr>
      <w:rFonts w:hint="default" w:ascii="方正细等线简体" w:hAnsi="方正细等线简体" w:eastAsia="方正细等线简体" w:cs="方正细等线简体"/>
      <w:color w:val="FF0000"/>
      <w:sz w:val="16"/>
      <w:szCs w:val="16"/>
      <w:u w:val="none"/>
    </w:rPr>
  </w:style>
  <w:style w:type="character" w:customStyle="1" w:styleId="21">
    <w:name w:val="font101"/>
    <w:basedOn w:val="10"/>
    <w:qFormat/>
    <w:uiPriority w:val="0"/>
    <w:rPr>
      <w:rFonts w:hint="eastAsia" w:ascii="宋体" w:hAnsi="宋体" w:eastAsia="宋体" w:cs="宋体"/>
      <w:color w:val="FF0000"/>
      <w:sz w:val="16"/>
      <w:szCs w:val="16"/>
      <w:u w:val="none"/>
    </w:rPr>
  </w:style>
  <w:style w:type="character" w:customStyle="1" w:styleId="22">
    <w:name w:val="font11"/>
    <w:basedOn w:val="10"/>
    <w:qFormat/>
    <w:uiPriority w:val="0"/>
    <w:rPr>
      <w:rFonts w:hint="eastAsia" w:ascii="宋体" w:hAnsi="宋体" w:eastAsia="宋体" w:cs="宋体"/>
      <w:color w:val="000000"/>
      <w:sz w:val="16"/>
      <w:szCs w:val="16"/>
      <w:u w:val="none"/>
    </w:rPr>
  </w:style>
  <w:style w:type="character" w:customStyle="1" w:styleId="23">
    <w:name w:val="font31"/>
    <w:basedOn w:val="10"/>
    <w:qFormat/>
    <w:uiPriority w:val="0"/>
    <w:rPr>
      <w:rFonts w:hint="eastAsia" w:ascii="宋体" w:hAnsi="宋体" w:eastAsia="宋体" w:cs="宋体"/>
      <w:color w:val="000000"/>
      <w:sz w:val="21"/>
      <w:szCs w:val="21"/>
      <w:u w:val="none"/>
    </w:rPr>
  </w:style>
  <w:style w:type="character" w:customStyle="1" w:styleId="24">
    <w:name w:val="font01"/>
    <w:basedOn w:val="10"/>
    <w:qFormat/>
    <w:uiPriority w:val="0"/>
    <w:rPr>
      <w:rFonts w:hint="eastAsia" w:ascii="宋体" w:hAnsi="宋体" w:eastAsia="宋体" w:cs="宋体"/>
      <w:color w:val="000000"/>
      <w:sz w:val="18"/>
      <w:szCs w:val="18"/>
      <w:u w:val="none"/>
    </w:rPr>
  </w:style>
  <w:style w:type="character" w:customStyle="1" w:styleId="25">
    <w:name w:val="font81"/>
    <w:basedOn w:val="10"/>
    <w:qFormat/>
    <w:uiPriority w:val="0"/>
    <w:rPr>
      <w:rFonts w:hint="eastAsia" w:ascii="宋体" w:hAnsi="宋体" w:eastAsia="宋体" w:cs="宋体"/>
      <w:color w:val="FF0000"/>
      <w:sz w:val="16"/>
      <w:szCs w:val="16"/>
      <w:u w:val="none"/>
    </w:rPr>
  </w:style>
  <w:style w:type="character" w:customStyle="1" w:styleId="26">
    <w:name w:val="font21"/>
    <w:basedOn w:val="10"/>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122</Pages>
  <Words>99391</Words>
  <Characters>121775</Characters>
  <Lines>31</Lines>
  <Paragraphs>8</Paragraphs>
  <TotalTime>14</TotalTime>
  <ScaleCrop>false</ScaleCrop>
  <LinksUpToDate>false</LinksUpToDate>
  <CharactersWithSpaces>122057</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2020-10-10T08:43:00Z</dcterms:created>
  <dc:creator>Sky123.Org</dc:creator>
  <cp:lastModifiedBy>user</cp:lastModifiedBy>
  <cp:lastPrinted>2024-04-01T19:01:00Z</cp:lastPrinted>
  <dcterms:modified xsi:type="dcterms:W3CDTF">2024-04-03T09:46:30Z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