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abs>
          <w:tab w:val="left" w:pos="4253"/>
        </w:tabs>
        <w:adjustRightInd w:val="0"/>
        <w:snapToGrid w:val="0"/>
        <w:spacing w:line="360" w:lineRule="auto"/>
        <w:ind w:firstLine="720" w:firstLineChars="200"/>
        <w:jc w:val="center"/>
        <w:rPr>
          <w:rFonts w:eastAsia="黑体"/>
          <w:sz w:val="36"/>
          <w:szCs w:val="36"/>
        </w:rPr>
      </w:pPr>
      <w:bookmarkStart w:id="0" w:name="_GoBack"/>
      <w:bookmarkEnd w:id="0"/>
    </w:p>
    <w:p>
      <w:pPr>
        <w:widowControl/>
        <w:tabs>
          <w:tab w:val="left" w:pos="4253"/>
        </w:tabs>
        <w:adjustRightInd w:val="0"/>
        <w:snapToGrid w:val="0"/>
        <w:spacing w:line="360" w:lineRule="auto"/>
        <w:ind w:firstLine="720" w:firstLineChars="200"/>
        <w:jc w:val="center"/>
        <w:rPr>
          <w:rFonts w:eastAsia="黑体"/>
          <w:sz w:val="36"/>
          <w:szCs w:val="36"/>
        </w:rPr>
      </w:pPr>
      <w:r>
        <w:rPr>
          <w:rFonts w:eastAsia="黑体"/>
          <w:sz w:val="36"/>
          <w:szCs w:val="36"/>
        </w:rPr>
        <w:t>农村住房安全性鉴定技术导则</w:t>
      </w:r>
    </w:p>
    <w:p>
      <w:pPr>
        <w:widowControl/>
        <w:tabs>
          <w:tab w:val="left" w:pos="6804"/>
        </w:tabs>
        <w:adjustRightInd w:val="0"/>
        <w:snapToGrid w:val="0"/>
        <w:spacing w:line="360" w:lineRule="auto"/>
        <w:jc w:val="center"/>
        <w:outlineLvl w:val="0"/>
        <w:rPr>
          <w:rFonts w:ascii="黑体" w:hAnsi="黑体" w:eastAsia="黑体" w:cs="黑体"/>
          <w:sz w:val="30"/>
          <w:szCs w:val="30"/>
        </w:rPr>
      </w:pPr>
    </w:p>
    <w:p>
      <w:pPr>
        <w:widowControl/>
        <w:tabs>
          <w:tab w:val="left" w:pos="6804"/>
        </w:tabs>
        <w:adjustRightInd w:val="0"/>
        <w:snapToGrid w:val="0"/>
        <w:spacing w:line="360" w:lineRule="auto"/>
        <w:jc w:val="center"/>
        <w:outlineLvl w:val="0"/>
        <w:rPr>
          <w:rFonts w:ascii="黑体" w:hAnsi="黑体" w:eastAsia="黑体" w:cs="黑体"/>
          <w:sz w:val="30"/>
          <w:szCs w:val="30"/>
        </w:rPr>
      </w:pPr>
      <w:r>
        <w:rPr>
          <w:rFonts w:hint="eastAsia" w:ascii="黑体" w:hAnsi="黑体" w:eastAsia="黑体" w:cs="黑体"/>
          <w:sz w:val="30"/>
          <w:szCs w:val="30"/>
        </w:rPr>
        <w:t>一、总则</w:t>
      </w:r>
    </w:p>
    <w:p>
      <w:pPr>
        <w:numPr>
          <w:ilvl w:val="0"/>
          <w:numId w:val="1"/>
        </w:numPr>
        <w:tabs>
          <w:tab w:val="left" w:pos="284"/>
        </w:tabs>
        <w:adjustRightInd w:val="0"/>
        <w:snapToGrid w:val="0"/>
        <w:spacing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为规范农村住房安全性鉴定程序和方法，为农村危房改造提供可靠依据，对《农村危险房屋鉴定技术导则（试行）》修订后形成本导则。</w:t>
      </w:r>
    </w:p>
    <w:p>
      <w:pPr>
        <w:numPr>
          <w:ilvl w:val="0"/>
          <w:numId w:val="1"/>
        </w:numPr>
        <w:adjustRightInd w:val="0"/>
        <w:snapToGrid w:val="0"/>
        <w:spacing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本导则适用于一、二层既有农村住房的安全性鉴定，主要包括房屋危险程度鉴定及防灾措施鉴定。</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三层及以上农村住房，可参照现行国家标准《民用建筑可靠性鉴定标准》（GB 50292）、《建筑抗震鉴定标准》（GB 50023）进行鉴定。</w:t>
      </w:r>
    </w:p>
    <w:p>
      <w:pPr>
        <w:numPr>
          <w:ilvl w:val="0"/>
          <w:numId w:val="1"/>
        </w:numPr>
        <w:adjustRightInd w:val="0"/>
        <w:snapToGrid w:val="0"/>
        <w:spacing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农村住房的安全性鉴定，以定性判断为主。根据房屋主要构件的危险程度和影响范围评定其危险程度等级，结合防灾措施鉴定对房屋的基本安全作出评估。鉴定以现场检查为主，并结合入户访谈、走访建筑工匠等方式了解建造和使用情况。</w:t>
      </w:r>
    </w:p>
    <w:p>
      <w:pPr>
        <w:numPr>
          <w:ilvl w:val="0"/>
          <w:numId w:val="1"/>
        </w:numPr>
        <w:adjustRightInd w:val="0"/>
        <w:snapToGrid w:val="0"/>
        <w:spacing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危险房屋（以下简称危房）指部分承重构件被鉴定为危险构件，或结构已严重损坏、处于危险状态，局部或整体不能满足安全使用要求的房屋；危房以幢为鉴定单位，通常为主要居住房屋。</w:t>
      </w:r>
    </w:p>
    <w:p>
      <w:pPr>
        <w:numPr>
          <w:ilvl w:val="0"/>
          <w:numId w:val="1"/>
        </w:numPr>
        <w:adjustRightInd w:val="0"/>
        <w:snapToGrid w:val="0"/>
        <w:spacing w:line="360" w:lineRule="auto"/>
        <w:ind w:left="0" w:firstLine="600" w:firstLineChars="200"/>
        <w:rPr>
          <w:rFonts w:ascii="仿宋" w:hAnsi="仿宋" w:eastAsia="仿宋" w:cs="仿宋"/>
          <w:b/>
          <w:sz w:val="30"/>
          <w:szCs w:val="30"/>
        </w:rPr>
      </w:pPr>
      <w:r>
        <w:rPr>
          <w:rFonts w:hint="eastAsia" w:ascii="仿宋" w:hAnsi="仿宋" w:eastAsia="仿宋" w:cs="仿宋"/>
          <w:sz w:val="30"/>
          <w:szCs w:val="30"/>
        </w:rPr>
        <w:t>农村住房安全性鉴定应由具有专业知识或经培训合格，并有一定工作经验的技术人员进行。</w:t>
      </w:r>
    </w:p>
    <w:p>
      <w:pPr>
        <w:widowControl/>
        <w:tabs>
          <w:tab w:val="left" w:pos="6804"/>
        </w:tabs>
        <w:adjustRightInd w:val="0"/>
        <w:snapToGrid w:val="0"/>
        <w:spacing w:line="360" w:lineRule="auto"/>
        <w:jc w:val="center"/>
        <w:outlineLvl w:val="0"/>
        <w:rPr>
          <w:rFonts w:ascii="黑体" w:hAnsi="黑体" w:eastAsia="黑体" w:cs="黑体"/>
          <w:sz w:val="30"/>
          <w:szCs w:val="30"/>
        </w:rPr>
      </w:pPr>
      <w:r>
        <w:rPr>
          <w:rFonts w:hint="eastAsia" w:ascii="黑体" w:hAnsi="黑体" w:eastAsia="黑体" w:cs="黑体"/>
          <w:sz w:val="30"/>
          <w:szCs w:val="30"/>
        </w:rPr>
        <w:t>二、基本规定</w:t>
      </w:r>
    </w:p>
    <w:p>
      <w:pPr>
        <w:numPr>
          <w:ilvl w:val="0"/>
          <w:numId w:val="1"/>
        </w:numPr>
        <w:adjustRightInd w:val="0"/>
        <w:snapToGrid w:val="0"/>
        <w:spacing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农村住房安全性鉴定应按下列程序进行：</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1.场地安全性鉴定：核查场地是否为地质灾害易发区，结合场地周边环境调查情况，进行安全性鉴定，鉴定结果分为危险和基本安全两个等级。</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2.房屋基本情况调查：结合现场查勘，收集农户基本信息和房屋信息。</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3.房屋组成部分危险程度鉴定：对房屋各组成部分现状进行现场调查、查勘和检测，包括地基基础、上部承重结构和围护结构，分别鉴定其危险性，鉴定结果分为a、b、c、d四个等级。</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4.房屋整体危险程度鉴定：对房屋各组成部分危险程度鉴定分级情况进行汇总，确定房屋整体危险性，鉴定结果分为A、B、C、D四个等级。</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5.防灾措施鉴定：检查房屋是否采取防灾措施，并对防灾措施完备情况进行调查，鉴定结果分为具备防灾措施、部分具备防灾措施和完全不具备防灾措施3个等级。</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6．处理建议：对被鉴定的房屋，根据房屋整体危险程度鉴定和防灾措施鉴定结果，综合考虑安全性提升加固改造措施，提出原则性的处理建议。</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7．出具鉴定报告：农村住房安全性鉴定报告内容应包括农户和房屋基本信息，房屋组成部分危险程度鉴定情况，房屋整体危险程度鉴定和防灾措施鉴定情况，并根据鉴定结果提出处理建议，附房屋简图和现场照片。</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8．争议处理：当农村住房安全性鉴定结论存在争议时，应委托专业机构进行仲裁鉴定。</w:t>
      </w:r>
    </w:p>
    <w:p>
      <w:pPr>
        <w:adjustRightInd w:val="0"/>
        <w:snapToGrid w:val="0"/>
        <w:spacing w:line="360" w:lineRule="auto"/>
        <w:jc w:val="center"/>
        <w:rPr>
          <w:rFonts w:ascii="仿宋" w:hAnsi="仿宋" w:eastAsia="仿宋" w:cs="仿宋"/>
          <w:b/>
          <w:sz w:val="30"/>
          <w:szCs w:val="30"/>
        </w:rPr>
      </w:pPr>
      <w:r>
        <w:rPr>
          <w:rFonts w:hint="eastAsia" w:ascii="仿宋" w:hAnsi="仿宋" w:eastAsia="仿宋" w:cs="仿宋"/>
          <w:b/>
          <w:sz w:val="30"/>
          <w:szCs w:val="30"/>
        </w:rPr>
        <w:drawing>
          <wp:inline distT="0" distB="0" distL="0" distR="0">
            <wp:extent cx="4789805" cy="2874645"/>
            <wp:effectExtent l="0" t="0" r="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4789976" cy="2874684"/>
                    </a:xfrm>
                    <a:prstGeom prst="rect">
                      <a:avLst/>
                    </a:prstGeom>
                    <a:noFill/>
                  </pic:spPr>
                </pic:pic>
              </a:graphicData>
            </a:graphic>
          </wp:inline>
        </w:drawing>
      </w:r>
    </w:p>
    <w:p>
      <w:pPr>
        <w:adjustRightInd w:val="0"/>
        <w:snapToGrid w:val="0"/>
        <w:spacing w:line="360" w:lineRule="auto"/>
        <w:jc w:val="center"/>
        <w:rPr>
          <w:rFonts w:ascii="仿宋" w:hAnsi="仿宋" w:eastAsia="仿宋" w:cs="仿宋"/>
          <w:sz w:val="28"/>
          <w:szCs w:val="28"/>
        </w:rPr>
      </w:pPr>
      <w:r>
        <w:rPr>
          <w:rFonts w:hint="eastAsia" w:ascii="仿宋" w:hAnsi="仿宋" w:eastAsia="仿宋" w:cs="仿宋"/>
          <w:b/>
          <w:sz w:val="28"/>
          <w:szCs w:val="28"/>
        </w:rPr>
        <w:t>图1 农村住房安全性鉴定程序</w:t>
      </w:r>
    </w:p>
    <w:p>
      <w:pPr>
        <w:numPr>
          <w:ilvl w:val="0"/>
          <w:numId w:val="1"/>
        </w:numPr>
        <w:adjustRightInd w:val="0"/>
        <w:snapToGrid w:val="0"/>
        <w:spacing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对房屋组成部分进行危险程度鉴定，应按下列等级划分：</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a级：无危险点。</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b级：有危险点。</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c级：局部危险。</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d级：整体危险。</w:t>
      </w:r>
    </w:p>
    <w:p>
      <w:pPr>
        <w:numPr>
          <w:ilvl w:val="0"/>
          <w:numId w:val="1"/>
        </w:numPr>
        <w:adjustRightInd w:val="0"/>
        <w:snapToGrid w:val="0"/>
        <w:spacing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在房屋组成部分危险程度鉴定基础上，对房屋整体危险程度进行鉴定，按下列等级划分：</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A级：结构能满足安全使用要求，承重构件未发现危险点，房屋结构安全。</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B级：结构基本满足安全使用要求，个别承重构件处于危险状态，但不影响主体结构安全。</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C级：部分承重结构不能满足安全使用要求，局部出现险情，构成局部危房。</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D级：承重结构已不能满足安全使用要求，房屋整体出现险情，构成整幢危房。</w:t>
      </w:r>
    </w:p>
    <w:p>
      <w:pPr>
        <w:numPr>
          <w:ilvl w:val="0"/>
          <w:numId w:val="1"/>
        </w:numPr>
        <w:adjustRightInd w:val="0"/>
        <w:snapToGrid w:val="0"/>
        <w:spacing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农村住房安全性鉴定分两阶段进行，第一阶段为场地安全性鉴定，第二阶段为房屋组成部分危险程度鉴定、房屋整体危险程度鉴定和防灾措施鉴定。当既有房屋建设场地被判定为危险时，可直接鉴定为D级，提出迁址重建建议。</w:t>
      </w:r>
    </w:p>
    <w:p>
      <w:pPr>
        <w:numPr>
          <w:ilvl w:val="0"/>
          <w:numId w:val="1"/>
        </w:numPr>
        <w:adjustRightInd w:val="0"/>
        <w:snapToGrid w:val="0"/>
        <w:spacing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房屋安全性鉴定应按照先房屋外部、后房屋内部，先宏观判别、后详细评定的顺序进行。房屋外观破坏程度严重或濒于倒塌的房屋，可不再对房屋内部进行检查，直接鉴定为D级。</w:t>
      </w:r>
    </w:p>
    <w:p>
      <w:pPr>
        <w:numPr>
          <w:ilvl w:val="0"/>
          <w:numId w:val="1"/>
        </w:numPr>
        <w:adjustRightInd w:val="0"/>
        <w:snapToGrid w:val="0"/>
        <w:spacing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房屋外部检查重点为：</w:t>
      </w:r>
    </w:p>
    <w:p>
      <w:pPr>
        <w:pStyle w:val="24"/>
        <w:adjustRightInd w:val="0"/>
        <w:snapToGrid w:val="0"/>
        <w:spacing w:line="360" w:lineRule="auto"/>
        <w:ind w:firstLine="0" w:firstLineChars="0"/>
        <w:rPr>
          <w:rFonts w:ascii="仿宋" w:hAnsi="仿宋" w:eastAsia="仿宋" w:cs="仿宋"/>
          <w:sz w:val="30"/>
          <w:szCs w:val="30"/>
        </w:rPr>
      </w:pPr>
      <w:r>
        <w:rPr>
          <w:rFonts w:hint="eastAsia" w:ascii="仿宋" w:hAnsi="仿宋" w:eastAsia="仿宋" w:cs="仿宋"/>
          <w:sz w:val="30"/>
          <w:szCs w:val="30"/>
        </w:rPr>
        <w:t xml:space="preserve">    1.房屋周边环境情况。</w:t>
      </w:r>
    </w:p>
    <w:p>
      <w:pPr>
        <w:pStyle w:val="24"/>
        <w:adjustRightInd w:val="0"/>
        <w:snapToGrid w:val="0"/>
        <w:spacing w:line="360" w:lineRule="auto"/>
        <w:ind w:firstLine="600" w:firstLineChars="0"/>
        <w:rPr>
          <w:rFonts w:ascii="仿宋" w:hAnsi="仿宋" w:eastAsia="仿宋" w:cs="仿宋"/>
          <w:sz w:val="30"/>
          <w:szCs w:val="30"/>
        </w:rPr>
      </w:pPr>
      <w:r>
        <w:rPr>
          <w:rFonts w:hint="eastAsia" w:ascii="仿宋" w:hAnsi="仿宋" w:eastAsia="仿宋" w:cs="仿宋"/>
          <w:sz w:val="30"/>
          <w:szCs w:val="30"/>
        </w:rPr>
        <w:t>2.房屋的层数、高度、平立面布置、主要建筑材料、楼（屋）盖形式等。</w:t>
      </w:r>
    </w:p>
    <w:p>
      <w:pPr>
        <w:pStyle w:val="24"/>
        <w:adjustRightInd w:val="0"/>
        <w:snapToGrid w:val="0"/>
        <w:spacing w:line="360" w:lineRule="auto"/>
        <w:ind w:firstLine="600" w:firstLineChars="0"/>
        <w:rPr>
          <w:rFonts w:ascii="仿宋" w:hAnsi="仿宋" w:eastAsia="仿宋" w:cs="仿宋"/>
          <w:sz w:val="30"/>
          <w:szCs w:val="30"/>
        </w:rPr>
      </w:pPr>
      <w:r>
        <w:rPr>
          <w:rFonts w:hint="eastAsia" w:ascii="仿宋" w:hAnsi="仿宋" w:eastAsia="仿宋" w:cs="仿宋"/>
          <w:sz w:val="30"/>
          <w:szCs w:val="30"/>
        </w:rPr>
        <w:t>3.地基基础的稳定和变形情况。</w:t>
      </w:r>
    </w:p>
    <w:p>
      <w:pPr>
        <w:pStyle w:val="24"/>
        <w:adjustRightInd w:val="0"/>
        <w:snapToGrid w:val="0"/>
        <w:spacing w:line="360" w:lineRule="auto"/>
        <w:ind w:firstLine="600" w:firstLineChars="0"/>
        <w:rPr>
          <w:rFonts w:ascii="仿宋" w:hAnsi="仿宋" w:eastAsia="仿宋" w:cs="仿宋"/>
          <w:sz w:val="30"/>
          <w:szCs w:val="30"/>
        </w:rPr>
      </w:pPr>
      <w:r>
        <w:rPr>
          <w:rFonts w:hint="eastAsia" w:ascii="仿宋" w:hAnsi="仿宋" w:eastAsia="仿宋" w:cs="仿宋"/>
          <w:sz w:val="30"/>
          <w:szCs w:val="30"/>
        </w:rPr>
        <w:t>4.房屋是否有整体倾斜、变形。</w:t>
      </w:r>
    </w:p>
    <w:p>
      <w:pPr>
        <w:pStyle w:val="24"/>
        <w:adjustRightInd w:val="0"/>
        <w:snapToGrid w:val="0"/>
        <w:spacing w:line="360" w:lineRule="auto"/>
        <w:ind w:firstLine="600" w:firstLineChars="0"/>
        <w:rPr>
          <w:rFonts w:ascii="仿宋" w:hAnsi="仿宋" w:eastAsia="仿宋" w:cs="仿宋"/>
          <w:sz w:val="30"/>
          <w:szCs w:val="30"/>
        </w:rPr>
      </w:pPr>
      <w:r>
        <w:rPr>
          <w:rFonts w:hint="eastAsia" w:ascii="仿宋" w:hAnsi="仿宋" w:eastAsia="仿宋" w:cs="仿宋"/>
          <w:sz w:val="30"/>
          <w:szCs w:val="30"/>
        </w:rPr>
        <w:t>5.房屋外观损伤和破坏情况。</w:t>
      </w:r>
    </w:p>
    <w:p>
      <w:pPr>
        <w:numPr>
          <w:ilvl w:val="0"/>
          <w:numId w:val="1"/>
        </w:numPr>
        <w:adjustRightInd w:val="0"/>
        <w:snapToGrid w:val="0"/>
        <w:spacing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房屋</w:t>
      </w:r>
      <w:r>
        <w:rPr>
          <w:rFonts w:hint="eastAsia" w:ascii="仿宋" w:hAnsi="仿宋" w:eastAsia="仿宋" w:cs="仿宋"/>
          <w:bCs/>
          <w:sz w:val="30"/>
          <w:szCs w:val="30"/>
        </w:rPr>
        <w:t>内部检查时，应首先结合外部检查确定房屋结构体系，然后对主要构件进行外观缺陷、损伤及破坏情况的检查。对各类构件的检查要点如下：</w:t>
      </w:r>
    </w:p>
    <w:p>
      <w:pPr>
        <w:adjustRightInd w:val="0"/>
        <w:snapToGrid w:val="0"/>
        <w:spacing w:line="360" w:lineRule="auto"/>
        <w:rPr>
          <w:rFonts w:ascii="仿宋" w:hAnsi="仿宋" w:eastAsia="仿宋" w:cs="仿宋"/>
          <w:sz w:val="30"/>
          <w:szCs w:val="30"/>
        </w:rPr>
      </w:pPr>
      <w:r>
        <w:rPr>
          <w:rFonts w:hint="eastAsia" w:ascii="仿宋" w:hAnsi="仿宋" w:eastAsia="仿宋" w:cs="仿宋"/>
          <w:bCs/>
          <w:sz w:val="30"/>
          <w:szCs w:val="30"/>
        </w:rPr>
        <w:t xml:space="preserve">    1.</w:t>
      </w:r>
      <w:r>
        <w:rPr>
          <w:rFonts w:hint="eastAsia" w:ascii="仿宋" w:hAnsi="仿宋" w:eastAsia="仿宋" w:cs="仿宋"/>
          <w:sz w:val="30"/>
          <w:szCs w:val="30"/>
        </w:rPr>
        <w:t>承重墙体、柱、梁、楼板、屋盖构件的材质、规格尺寸，有无受力或变形裂缝及程度等。</w:t>
      </w:r>
    </w:p>
    <w:p>
      <w:pPr>
        <w:adjustRightInd w:val="0"/>
        <w:snapToGrid w:val="0"/>
        <w:spacing w:line="360" w:lineRule="auto"/>
        <w:ind w:firstLine="600"/>
        <w:rPr>
          <w:rFonts w:ascii="仿宋" w:hAnsi="仿宋" w:eastAsia="仿宋" w:cs="仿宋"/>
          <w:sz w:val="30"/>
          <w:szCs w:val="30"/>
        </w:rPr>
      </w:pPr>
      <w:r>
        <w:rPr>
          <w:rFonts w:hint="eastAsia" w:ascii="仿宋" w:hAnsi="仿宋" w:eastAsia="仿宋" w:cs="仿宋"/>
          <w:sz w:val="30"/>
          <w:szCs w:val="30"/>
        </w:rPr>
        <w:t>2.各承重构件之间的连接构造节点做法及现状，有无拉脱、松动、变形等。</w:t>
      </w:r>
    </w:p>
    <w:p>
      <w:pPr>
        <w:adjustRightInd w:val="0"/>
        <w:snapToGrid w:val="0"/>
        <w:spacing w:line="360" w:lineRule="auto"/>
        <w:ind w:firstLine="600"/>
        <w:rPr>
          <w:rFonts w:ascii="仿宋" w:hAnsi="仿宋" w:eastAsia="仿宋" w:cs="仿宋"/>
          <w:sz w:val="30"/>
          <w:szCs w:val="30"/>
        </w:rPr>
      </w:pPr>
      <w:r>
        <w:rPr>
          <w:rFonts w:hint="eastAsia" w:ascii="仿宋" w:hAnsi="仿宋" w:eastAsia="仿宋" w:cs="仿宋"/>
          <w:sz w:val="30"/>
          <w:szCs w:val="30"/>
        </w:rPr>
        <w:t>3.木构架承重房屋的刚性围护墙及其与承重木构架的连接。</w:t>
      </w:r>
    </w:p>
    <w:p>
      <w:pPr>
        <w:adjustRightInd w:val="0"/>
        <w:snapToGrid w:val="0"/>
        <w:spacing w:line="360" w:lineRule="auto"/>
        <w:ind w:firstLine="600"/>
        <w:rPr>
          <w:rFonts w:ascii="仿宋" w:hAnsi="仿宋" w:eastAsia="仿宋" w:cs="仿宋"/>
          <w:sz w:val="30"/>
          <w:szCs w:val="30"/>
        </w:rPr>
      </w:pPr>
      <w:r>
        <w:rPr>
          <w:rFonts w:hint="eastAsia" w:ascii="仿宋" w:hAnsi="仿宋" w:eastAsia="仿宋" w:cs="仿宋"/>
          <w:sz w:val="30"/>
          <w:szCs w:val="30"/>
        </w:rPr>
        <w:t>4.判定墙体裂缝性质时，应注意区分抹灰层等装饰层的损坏与构件本身的损坏，必要时</w:t>
      </w:r>
      <w:r>
        <w:rPr>
          <w:rFonts w:hint="eastAsia" w:ascii="仿宋" w:hAnsi="仿宋" w:eastAsia="仿宋" w:cs="仿宋"/>
          <w:bCs/>
          <w:sz w:val="30"/>
          <w:szCs w:val="30"/>
        </w:rPr>
        <w:t>应剔除其装饰层进行核查</w:t>
      </w:r>
      <w:r>
        <w:rPr>
          <w:rFonts w:hint="eastAsia" w:ascii="仿宋" w:hAnsi="仿宋" w:eastAsia="仿宋" w:cs="仿宋"/>
          <w:sz w:val="30"/>
          <w:szCs w:val="30"/>
        </w:rPr>
        <w:t>。</w:t>
      </w:r>
    </w:p>
    <w:p>
      <w:pPr>
        <w:numPr>
          <w:ilvl w:val="0"/>
          <w:numId w:val="1"/>
        </w:numPr>
        <w:adjustRightInd w:val="0"/>
        <w:snapToGrid w:val="0"/>
        <w:spacing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现场鉴定人员应有可靠的安全防护措施。</w:t>
      </w:r>
    </w:p>
    <w:p>
      <w:pPr>
        <w:widowControl/>
        <w:tabs>
          <w:tab w:val="left" w:pos="6804"/>
        </w:tabs>
        <w:adjustRightInd w:val="0"/>
        <w:snapToGrid w:val="0"/>
        <w:spacing w:line="360" w:lineRule="auto"/>
        <w:jc w:val="center"/>
        <w:outlineLvl w:val="0"/>
        <w:rPr>
          <w:rFonts w:ascii="黑体" w:hAnsi="黑体" w:eastAsia="黑体" w:cs="黑体"/>
          <w:sz w:val="30"/>
          <w:szCs w:val="30"/>
        </w:rPr>
      </w:pPr>
      <w:r>
        <w:rPr>
          <w:rFonts w:hint="eastAsia" w:ascii="黑体" w:hAnsi="黑体" w:eastAsia="黑体" w:cs="黑体"/>
          <w:sz w:val="30"/>
          <w:szCs w:val="30"/>
        </w:rPr>
        <w:t>三、场地安全性鉴定</w:t>
      </w:r>
    </w:p>
    <w:p>
      <w:pPr>
        <w:numPr>
          <w:ilvl w:val="0"/>
          <w:numId w:val="1"/>
        </w:numPr>
        <w:adjustRightInd w:val="0"/>
        <w:snapToGrid w:val="0"/>
        <w:spacing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场地是否存在重大安全隐患，以自然资源部门出具的评估结果和建议为准，避免造成严重后果；同时现场调查房屋所处周边环境是否存在危险因素。当场地存在下列情况之一时，应判定为危险场地：</w:t>
      </w:r>
    </w:p>
    <w:p>
      <w:pPr>
        <w:adjustRightInd w:val="0"/>
        <w:snapToGrid w:val="0"/>
        <w:spacing w:line="360" w:lineRule="auto"/>
        <w:rPr>
          <w:rFonts w:ascii="仿宋" w:hAnsi="仿宋" w:eastAsia="仿宋" w:cs="仿宋"/>
          <w:sz w:val="30"/>
          <w:szCs w:val="30"/>
        </w:rPr>
      </w:pPr>
      <w:r>
        <w:rPr>
          <w:rFonts w:hint="eastAsia" w:ascii="仿宋" w:hAnsi="仿宋" w:eastAsia="仿宋" w:cs="仿宋"/>
          <w:sz w:val="30"/>
          <w:szCs w:val="30"/>
        </w:rPr>
        <w:t xml:space="preserve">    1.可能发生滑坡、崩塌、地陷、地裂等。</w:t>
      </w:r>
    </w:p>
    <w:p>
      <w:pPr>
        <w:adjustRightInd w:val="0"/>
        <w:snapToGrid w:val="0"/>
        <w:spacing w:line="360" w:lineRule="auto"/>
        <w:ind w:firstLine="600"/>
        <w:rPr>
          <w:rFonts w:ascii="仿宋" w:hAnsi="仿宋" w:eastAsia="仿宋" w:cs="仿宋"/>
          <w:sz w:val="30"/>
          <w:szCs w:val="30"/>
        </w:rPr>
      </w:pPr>
      <w:r>
        <w:rPr>
          <w:rFonts w:hint="eastAsia" w:ascii="仿宋" w:hAnsi="仿宋" w:eastAsia="仿宋" w:cs="仿宋"/>
          <w:sz w:val="30"/>
          <w:szCs w:val="30"/>
        </w:rPr>
        <w:t>2.洪水主流区、山洪、泥石流易发地段。</w:t>
      </w:r>
    </w:p>
    <w:p>
      <w:pPr>
        <w:adjustRightInd w:val="0"/>
        <w:snapToGrid w:val="0"/>
        <w:spacing w:line="360" w:lineRule="auto"/>
        <w:ind w:firstLine="600"/>
        <w:rPr>
          <w:rFonts w:ascii="仿宋" w:hAnsi="仿宋" w:eastAsia="仿宋" w:cs="仿宋"/>
          <w:sz w:val="30"/>
          <w:szCs w:val="30"/>
        </w:rPr>
      </w:pPr>
      <w:r>
        <w:rPr>
          <w:rFonts w:hint="eastAsia" w:ascii="仿宋" w:hAnsi="仿宋" w:eastAsia="仿宋" w:cs="仿宋"/>
          <w:sz w:val="30"/>
          <w:szCs w:val="30"/>
        </w:rPr>
        <w:t>3.岩溶、土洞强烈发育地段。</w:t>
      </w:r>
    </w:p>
    <w:p>
      <w:pPr>
        <w:adjustRightInd w:val="0"/>
        <w:snapToGrid w:val="0"/>
        <w:spacing w:line="360" w:lineRule="auto"/>
        <w:ind w:firstLine="600"/>
        <w:rPr>
          <w:rFonts w:ascii="仿宋" w:hAnsi="仿宋" w:eastAsia="仿宋" w:cs="仿宋"/>
          <w:sz w:val="30"/>
          <w:szCs w:val="30"/>
        </w:rPr>
      </w:pPr>
      <w:r>
        <w:rPr>
          <w:rFonts w:hint="eastAsia" w:ascii="仿宋" w:hAnsi="仿宋" w:eastAsia="仿宋" w:cs="仿宋"/>
          <w:sz w:val="30"/>
          <w:szCs w:val="30"/>
        </w:rPr>
        <w:t>4.已出现明显变形下陷趋势的采空区。</w:t>
      </w:r>
    </w:p>
    <w:p>
      <w:pPr>
        <w:widowControl/>
        <w:tabs>
          <w:tab w:val="left" w:pos="6804"/>
        </w:tabs>
        <w:adjustRightInd w:val="0"/>
        <w:snapToGrid w:val="0"/>
        <w:spacing w:line="360" w:lineRule="auto"/>
        <w:jc w:val="center"/>
        <w:outlineLvl w:val="0"/>
        <w:rPr>
          <w:rFonts w:ascii="黑体" w:hAnsi="黑体" w:eastAsia="黑体" w:cs="黑体"/>
          <w:sz w:val="30"/>
          <w:szCs w:val="30"/>
        </w:rPr>
      </w:pPr>
      <w:r>
        <w:rPr>
          <w:rFonts w:hint="eastAsia" w:ascii="黑体" w:hAnsi="黑体" w:eastAsia="黑体" w:cs="黑体"/>
          <w:sz w:val="30"/>
          <w:szCs w:val="30"/>
        </w:rPr>
        <w:t>四、房屋组成部分危险程度鉴定</w:t>
      </w:r>
    </w:p>
    <w:p>
      <w:pPr>
        <w:pStyle w:val="24"/>
        <w:numPr>
          <w:ilvl w:val="0"/>
          <w:numId w:val="1"/>
        </w:numPr>
        <w:adjustRightInd w:val="0"/>
        <w:snapToGrid w:val="0"/>
        <w:spacing w:line="360" w:lineRule="auto"/>
        <w:ind w:left="0" w:firstLine="600"/>
        <w:rPr>
          <w:rFonts w:ascii="仿宋" w:hAnsi="仿宋" w:eastAsia="仿宋" w:cs="仿宋"/>
          <w:sz w:val="30"/>
          <w:szCs w:val="30"/>
        </w:rPr>
      </w:pPr>
      <w:r>
        <w:rPr>
          <w:rFonts w:hint="eastAsia" w:ascii="仿宋" w:hAnsi="仿宋" w:eastAsia="仿宋" w:cs="仿宋"/>
          <w:sz w:val="30"/>
          <w:szCs w:val="30"/>
        </w:rPr>
        <w:t>房屋由地基基础、承重构件、围护（分隔）构件、木屋架和楼（屋）盖等组成，</w:t>
      </w:r>
      <w:r>
        <w:rPr>
          <w:rFonts w:hint="eastAsia" w:ascii="仿宋" w:hAnsi="仿宋" w:eastAsia="仿宋" w:cs="仿宋"/>
          <w:bCs/>
          <w:color w:val="000000" w:themeColor="text1"/>
          <w:sz w:val="30"/>
          <w:szCs w:val="30"/>
          <w14:textFill>
            <w14:solidFill>
              <w14:schemeClr w14:val="tx1"/>
            </w14:solidFill>
          </w14:textFill>
        </w:rPr>
        <w:t>各组成部分包括多个构件，危险程度鉴定时以危险程度最高的构件来判定组成部分的危险等级。应因地制宜，根据房屋结构体系确定主要构件并进行危险程度鉴定。</w:t>
      </w:r>
    </w:p>
    <w:p>
      <w:pPr>
        <w:numPr>
          <w:ilvl w:val="0"/>
          <w:numId w:val="1"/>
        </w:numPr>
        <w:adjustRightInd w:val="0"/>
        <w:snapToGrid w:val="0"/>
        <w:spacing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地基基础鉴定以现状鉴定为主，着重检查外露基础现状情况，上部结构有无因不均匀沉降引起的裂缝、沉降等，按下列等级进行划分：</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a级：上部结构无不均匀沉降裂缝和倾斜，外露基础完好；地基、基础稳定。</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b级：上部结构有轻微不均匀沉降裂缝，外露基础基本完好；地基、基础基本稳定。</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c级：上部结构出现明显不均匀沉降裂缝，或外露基础明显腐蚀、酥碱、松散和剥落。</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d级：上部结构不均匀沉降裂缝严重，且继续发展尚未稳定，或已出现明显倾斜；基础局部或整体塌陷。</w:t>
      </w:r>
    </w:p>
    <w:p>
      <w:pPr>
        <w:numPr>
          <w:ilvl w:val="0"/>
          <w:numId w:val="1"/>
        </w:numPr>
        <w:adjustRightInd w:val="0"/>
        <w:snapToGrid w:val="0"/>
        <w:spacing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砌体墙鉴定主要检查砌筑质量、外观现状等，按下列等级进行划分：</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a级：砌筑质量良好，无裂缝、剥蚀、歪斜；纵横墙交接处咬槎砌筑。</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b级：砌筑质量一般，部分墙体有轻微开裂或剥蚀；纵横墙交接处无明显通缝。</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c级：砌筑质量差，墙体普遍开裂，剥蚀严重；纵横墙体脱闪；个别墙体歪斜；承重墙体厚度≤120mm。</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d级：墙体严重开裂，部分墙体严重歪斜；局部倒塌或有倒塌危险。</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当小型混凝土空心砌块墙未按要求设置芯柱时，结合质量现状，应判定为c级或d级。</w:t>
      </w:r>
    </w:p>
    <w:p>
      <w:pPr>
        <w:numPr>
          <w:ilvl w:val="0"/>
          <w:numId w:val="1"/>
        </w:numPr>
        <w:adjustRightInd w:val="0"/>
        <w:snapToGrid w:val="0"/>
        <w:spacing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石砌墙体鉴定主要检查砌筑质量、砌筑方式、外观现状等，按下列等级进行划分：</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a级：石料规整，砌筑质量良好；无空鼓、歪斜；纵横墙交接处咬槎砌筑。</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b级：石料基本规整，砌筑质量一般；墙体有轻微开裂或空鼓；纵横墙交接处无明显通缝。</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c级：石料规整性差，砌筑质量差；墙体普遍开裂，明显空鼓，部分石料松动；纵横墙体脱闪，个别墙体歪斜。</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d级：墙体严重开裂；部分墙体严重歪斜；局部倒塌或有倒塌危险。</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当墙体采用乱毛石、鹅卵石砌筑，或砌筑砂浆为泥浆或无浆干砌时，应判定为c级或d级。</w:t>
      </w:r>
    </w:p>
    <w:p>
      <w:pPr>
        <w:numPr>
          <w:ilvl w:val="0"/>
          <w:numId w:val="1"/>
        </w:numPr>
        <w:adjustRightInd w:val="0"/>
        <w:snapToGrid w:val="0"/>
        <w:spacing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生土墙体鉴定主要检查砌筑（夯筑）质量、砌筑方式、外观现状等，按下列等级进行划分：</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a级：土坯墙块体规整、砌筑质量良好，夯土墙夯筑质量好，干缩裂缝较少。墙面无剥蚀、空鼓；纵横墙交接处咬槎砌筑；</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b级：土坯墙砌筑质量或夯土墙夯筑质量一般，干缩裂缝较多但不严重；受力裂缝轻微；墙面轻微剥蚀或空鼓；纵横墙交接处无明显通缝。</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c级：墙体砌筑或夯筑质量差，干缩裂缝严重并出现明显受力裂缝；墙面明显剥蚀，空鼓严重；纵横墙体脱闪，个别墙体歪斜。</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d级：墙体严重开裂；部分墙体严重歪斜，局部倒塌或有倒塌危险。</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处于长期受潮状态或周边排水不畅的生土墙体，应判定为c级或d级。</w:t>
      </w:r>
    </w:p>
    <w:p>
      <w:pPr>
        <w:numPr>
          <w:ilvl w:val="0"/>
          <w:numId w:val="1"/>
        </w:numPr>
        <w:adjustRightInd w:val="0"/>
        <w:snapToGrid w:val="0"/>
        <w:spacing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承重木构架鉴定主要检查木柱、梁、檩等各构件的现状及榫卯节点连接情况，按下列等级进行划分：</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a级：无腐朽或虫蛀；构件无变形；有轻微干缩裂缝；榫卯节点良好。</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b级：轻微腐朽或虫蛀；构件有轻微变形；构件纵向干缩裂缝深度超过木材直径的1/6；榫卯节点基本良好。</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c级：明显腐朽或虫蛀；梁、檩跨中明显挠曲或出现横向裂缝，梁檩端部出现劈裂；柱身明显歪斜；木柱与柱基础之间错位；构件纵向干缩裂缝深度超过木材直径的1/4；榫卯节点有破损或有拔榫迹象；承重柱存在接柱或转换情况且未采取可靠连接措施。</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d级：严重腐朽或虫蛀；梁、檩跨中出现严重横向裂缝；柱身严重歪斜；木柱与柱基础之间严重错位；构件纵向干缩裂缝深度超过木材直径的1/3；榫卯节点失效或多处拔榫。</w:t>
      </w:r>
    </w:p>
    <w:p>
      <w:pPr>
        <w:numPr>
          <w:ilvl w:val="0"/>
          <w:numId w:val="1"/>
        </w:numPr>
        <w:adjustRightInd w:val="0"/>
        <w:snapToGrid w:val="0"/>
        <w:spacing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梁、板、柱等混凝土构件的鉴定主要检查质量现状，按下列等级进行划分：</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a级：表面平整，或仅有少量微小开裂或个别部位剥落；钢筋无明显露筋、锈蚀；预制板端部支承稳固，采取加强连接措施。</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b级：表面轻微开裂或局部剥落；个别部位钢筋露筋、锈蚀；预制板端部支承基本稳固。</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c级：保护层剥落严重；钢筋露筋、锈蚀，出现明显锈胀裂缝；梁、板出现明显受力裂缝和变形；预制板端部支承长度不足。</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d级：保护层剥落非常严重；部分钢筋外露；梁、板出现严重受力裂缝和变形；预制板端部支承长度严重不足，有坠落危险。</w:t>
      </w:r>
    </w:p>
    <w:p>
      <w:pPr>
        <w:numPr>
          <w:ilvl w:val="0"/>
          <w:numId w:val="1"/>
        </w:numPr>
        <w:adjustRightInd w:val="0"/>
        <w:snapToGrid w:val="0"/>
        <w:spacing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围护墙体鉴定主要检查刚性围护墙及其与承重木构架连接现状，围护墙体质量鉴定根据墙体类别参见以上各条要求，按下列等级进行划分：</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a级：围护墙与承重木柱间有拉结措施；山墙、山尖墙与木构架或屋架有墙揽拉结；内隔墙顶与梁或屋架下弦有拉结。</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b级：采取部分拉结措施；围护墙与承重木柱之间未出现明显通缝。</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c级：无拉结措施；贴砌山墙、山尖墙与屋架分离；围护墙体与承重木柱之间出现明显竖向通缝。</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d级：无拉结措施；贴砌山墙、山尖墙与屋架分离且有明显外闪；围护墙体与承重木柱之间脱闪。</w:t>
      </w:r>
    </w:p>
    <w:p>
      <w:pPr>
        <w:numPr>
          <w:ilvl w:val="0"/>
          <w:numId w:val="1"/>
        </w:numPr>
        <w:adjustRightInd w:val="0"/>
        <w:snapToGrid w:val="0"/>
        <w:spacing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木屋架鉴定主要检查各构件的现状以及节点连接情况，按下列等级进行划分：</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a级：无腐朽或虫蛀；无变形；自身稳定性良好，没有平面内变形和平面外偏斜；榫卯节点良好。</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b级：轻微腐朽或虫蛀；有轻微变形；自身稳定性尚可，有轻微平面内变形或平面外偏斜；榫卯节点基本良好。</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c级：明显腐朽或虫蛀；下弦跨中出现横纹裂缝；端部支座移位或松动；出现明显平面内变形或平面外歪斜；榫卯节点有破损、松动或有拔榫迹象。</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d级：严重腐朽或虫蛀；下弦跨中出现严重横纹裂缝；端部支座失效；出现平面内严重变形或平面外严重歪斜；榫卯节点多处拔榫。</w:t>
      </w:r>
    </w:p>
    <w:p>
      <w:pPr>
        <w:numPr>
          <w:ilvl w:val="0"/>
          <w:numId w:val="1"/>
        </w:numPr>
        <w:adjustRightInd w:val="0"/>
        <w:snapToGrid w:val="0"/>
        <w:spacing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楼（屋）盖鉴定主要检查构件现状，按下列等级进行划分：</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 xml:space="preserve">a级：楼（屋）面板无明显受力裂缝和变形；椽、瓦完好；屋面无渗水现象。 </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 xml:space="preserve">b级：楼（屋）面板有轻微裂缝但无明显变形；瓦屋面局部轻微沉陷，椽、瓦小范围损坏；屋面小范围渗水。 </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c级：楼（屋）面板明显开裂和变形；瓦屋面出现较大范围沉陷，椽、瓦较大范围损坏；屋面较大范围渗水。</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d级：楼（屋）面板开裂严重，部分塌落；瓦屋面大范围沉陷，椽、瓦大范围严重损坏；屋面大范围渗水漏雨。</w:t>
      </w:r>
    </w:p>
    <w:p>
      <w:pPr>
        <w:widowControl/>
        <w:tabs>
          <w:tab w:val="left" w:pos="6804"/>
        </w:tabs>
        <w:adjustRightInd w:val="0"/>
        <w:snapToGrid w:val="0"/>
        <w:spacing w:line="360" w:lineRule="auto"/>
        <w:jc w:val="center"/>
        <w:outlineLvl w:val="0"/>
        <w:rPr>
          <w:rFonts w:ascii="黑体" w:hAnsi="黑体" w:eastAsia="黑体" w:cs="黑体"/>
          <w:sz w:val="30"/>
          <w:szCs w:val="30"/>
        </w:rPr>
      </w:pPr>
      <w:r>
        <w:rPr>
          <w:rFonts w:hint="eastAsia" w:ascii="黑体" w:hAnsi="黑体" w:eastAsia="黑体" w:cs="黑体"/>
          <w:sz w:val="30"/>
          <w:szCs w:val="30"/>
        </w:rPr>
        <w:t>五、房屋整体危险程度鉴定</w:t>
      </w:r>
    </w:p>
    <w:p>
      <w:pPr>
        <w:numPr>
          <w:ilvl w:val="0"/>
          <w:numId w:val="1"/>
        </w:numPr>
        <w:adjustRightInd w:val="0"/>
        <w:snapToGrid w:val="0"/>
        <w:spacing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在各组成部分危险程度鉴定结果基础上，结合房屋宏观情况进行综合判定，确定其整体危险程度等级：</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A级：房屋各组成部分各项均为a级，即房屋没有损坏，整体现状基本完好。</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B级：房屋各组成部分至少一项为b级，即房屋出现轻微破损，存在轻度危险。</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C级：房屋各组成部分至少一项为c级，即房屋出现中度破损，存在中度危险。</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D级：房屋各组成部分至少一项为d级，即房屋出现严重破损，存在严重危险。</w:t>
      </w:r>
    </w:p>
    <w:p>
      <w:pPr>
        <w:adjustRightInd w:val="0"/>
        <w:snapToGrid w:val="0"/>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生土墙体承重、砖土混合承重房屋，泥浆砌筑的砖木、石木结构房屋，即使观感完好，但存在潜在原始缺陷，不应评为A级。</w:t>
      </w:r>
    </w:p>
    <w:p>
      <w:pPr>
        <w:widowControl/>
        <w:tabs>
          <w:tab w:val="left" w:pos="6804"/>
        </w:tabs>
        <w:adjustRightInd w:val="0"/>
        <w:snapToGrid w:val="0"/>
        <w:spacing w:line="360" w:lineRule="auto"/>
        <w:jc w:val="center"/>
        <w:outlineLvl w:val="0"/>
        <w:rPr>
          <w:rFonts w:ascii="黑体" w:hAnsi="黑体" w:eastAsia="黑体" w:cs="黑体"/>
          <w:sz w:val="30"/>
          <w:szCs w:val="30"/>
        </w:rPr>
      </w:pPr>
      <w:r>
        <w:rPr>
          <w:rFonts w:hint="eastAsia" w:ascii="黑体" w:hAnsi="黑体" w:eastAsia="黑体" w:cs="黑体"/>
          <w:sz w:val="30"/>
          <w:szCs w:val="30"/>
        </w:rPr>
        <w:t>六、防灾措施鉴定</w:t>
      </w:r>
    </w:p>
    <w:p>
      <w:pPr>
        <w:numPr>
          <w:ilvl w:val="0"/>
          <w:numId w:val="1"/>
        </w:numPr>
        <w:adjustRightInd w:val="0"/>
        <w:snapToGrid w:val="0"/>
        <w:spacing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在进行房屋危险程度鉴定的同时，应进行防灾措施鉴定，鉴定结果分为具备防灾措施、部分具备防灾措施、完全不具备防灾措施3个等级。应因地制宜根据主要灾种提出防灾措施鉴定要求。8度及以上高地震烈度区应对抗震构造措施着重进行鉴定。</w:t>
      </w:r>
    </w:p>
    <w:p>
      <w:pPr>
        <w:numPr>
          <w:ilvl w:val="0"/>
          <w:numId w:val="1"/>
        </w:numPr>
        <w:adjustRightInd w:val="0"/>
        <w:snapToGrid w:val="0"/>
        <w:spacing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抗震构造措施鉴定主要检查以下项目是否符合，进行综合判断并分级：</w:t>
      </w:r>
    </w:p>
    <w:p>
      <w:pPr>
        <w:pStyle w:val="24"/>
        <w:adjustRightInd w:val="0"/>
        <w:snapToGrid w:val="0"/>
        <w:spacing w:line="360" w:lineRule="auto"/>
        <w:ind w:firstLine="0" w:firstLineChars="0"/>
        <w:rPr>
          <w:rFonts w:ascii="仿宋" w:hAnsi="仿宋" w:eastAsia="仿宋" w:cs="仿宋"/>
          <w:sz w:val="30"/>
          <w:szCs w:val="30"/>
        </w:rPr>
      </w:pPr>
      <w:r>
        <w:rPr>
          <w:rFonts w:hint="eastAsia" w:ascii="仿宋" w:hAnsi="仿宋" w:eastAsia="仿宋" w:cs="仿宋"/>
          <w:sz w:val="30"/>
          <w:szCs w:val="30"/>
        </w:rPr>
        <w:t xml:space="preserve">    1.墙体承重房屋基础埋置深度不宜小于500mm，8度及以上设防地区应设置钢筋混凝土地圈梁。</w:t>
      </w:r>
    </w:p>
    <w:p>
      <w:pPr>
        <w:pStyle w:val="24"/>
        <w:adjustRightInd w:val="0"/>
        <w:snapToGrid w:val="0"/>
        <w:spacing w:line="360" w:lineRule="auto"/>
        <w:ind w:firstLine="600" w:firstLineChars="0"/>
        <w:rPr>
          <w:rFonts w:ascii="仿宋" w:hAnsi="仿宋" w:eastAsia="仿宋" w:cs="仿宋"/>
          <w:sz w:val="30"/>
          <w:szCs w:val="30"/>
        </w:rPr>
      </w:pPr>
      <w:r>
        <w:rPr>
          <w:rFonts w:hint="eastAsia" w:ascii="仿宋" w:hAnsi="仿宋" w:eastAsia="仿宋" w:cs="仿宋"/>
          <w:sz w:val="30"/>
          <w:szCs w:val="30"/>
        </w:rPr>
        <w:t>2.8度及以上设防地区，砌体墙承重房屋四角应设置钢筋混凝土构造柱。</w:t>
      </w:r>
    </w:p>
    <w:p>
      <w:pPr>
        <w:pStyle w:val="24"/>
        <w:adjustRightInd w:val="0"/>
        <w:snapToGrid w:val="0"/>
        <w:spacing w:line="360" w:lineRule="auto"/>
        <w:ind w:firstLine="600" w:firstLineChars="0"/>
        <w:rPr>
          <w:rFonts w:ascii="仿宋" w:hAnsi="仿宋" w:eastAsia="仿宋" w:cs="仿宋"/>
          <w:sz w:val="30"/>
          <w:szCs w:val="30"/>
        </w:rPr>
      </w:pPr>
      <w:r>
        <w:rPr>
          <w:rFonts w:hint="eastAsia" w:ascii="仿宋" w:hAnsi="仿宋" w:eastAsia="仿宋" w:cs="仿宋"/>
          <w:sz w:val="30"/>
          <w:szCs w:val="30"/>
        </w:rPr>
        <w:t>3.8度及以上设防地区的房屋，承重墙顶或檐口高度处应设置钢筋混凝土圈梁；6度、7度设防地区的房屋，宜根据墙体类别设置钢筋混凝土圈梁、配筋砂浆带圈梁或钢筋砖圈梁；现浇钢筋混凝土楼板可兼做圈梁。</w:t>
      </w:r>
    </w:p>
    <w:p>
      <w:pPr>
        <w:pStyle w:val="24"/>
        <w:adjustRightInd w:val="0"/>
        <w:snapToGrid w:val="0"/>
        <w:spacing w:line="360" w:lineRule="auto"/>
        <w:ind w:firstLine="600" w:firstLineChars="0"/>
        <w:rPr>
          <w:rFonts w:ascii="仿宋" w:hAnsi="仿宋" w:eastAsia="仿宋" w:cs="仿宋"/>
          <w:sz w:val="30"/>
          <w:szCs w:val="30"/>
        </w:rPr>
      </w:pPr>
      <w:r>
        <w:rPr>
          <w:rFonts w:hint="eastAsia" w:ascii="仿宋" w:hAnsi="仿宋" w:eastAsia="仿宋" w:cs="仿宋"/>
          <w:sz w:val="30"/>
          <w:szCs w:val="30"/>
        </w:rPr>
        <w:t>4.8度及以上设防地区，端开间及中间隔开间木构（屋）架间应设置竖向剪刀撑，檐口高度应设置纵向水平系杆。</w:t>
      </w:r>
    </w:p>
    <w:p>
      <w:pPr>
        <w:pStyle w:val="24"/>
        <w:adjustRightInd w:val="0"/>
        <w:snapToGrid w:val="0"/>
        <w:spacing w:line="360" w:lineRule="auto"/>
        <w:ind w:firstLine="600" w:firstLineChars="0"/>
        <w:rPr>
          <w:rFonts w:ascii="仿宋" w:hAnsi="仿宋" w:eastAsia="仿宋" w:cs="仿宋"/>
          <w:sz w:val="30"/>
          <w:szCs w:val="30"/>
        </w:rPr>
      </w:pPr>
      <w:r>
        <w:rPr>
          <w:rFonts w:hint="eastAsia" w:ascii="仿宋" w:hAnsi="仿宋" w:eastAsia="仿宋" w:cs="仿宋"/>
          <w:sz w:val="30"/>
          <w:szCs w:val="30"/>
        </w:rPr>
        <w:t>5.承重窗间墙最小宽度及承重外墙尽端至门窗洞边的最小距离不应小于900mm。</w:t>
      </w:r>
    </w:p>
    <w:p>
      <w:pPr>
        <w:pStyle w:val="24"/>
        <w:adjustRightInd w:val="0"/>
        <w:snapToGrid w:val="0"/>
        <w:spacing w:line="360" w:lineRule="auto"/>
        <w:ind w:firstLine="600" w:firstLineChars="0"/>
        <w:rPr>
          <w:rFonts w:ascii="仿宋" w:hAnsi="仿宋" w:eastAsia="仿宋" w:cs="仿宋"/>
          <w:sz w:val="30"/>
          <w:szCs w:val="30"/>
        </w:rPr>
      </w:pPr>
      <w:r>
        <w:rPr>
          <w:rFonts w:hint="eastAsia" w:ascii="仿宋" w:hAnsi="仿宋" w:eastAsia="仿宋" w:cs="仿宋"/>
          <w:sz w:val="30"/>
          <w:szCs w:val="30"/>
        </w:rPr>
        <w:t>6.承重墙体最小厚度，砌体墙不应小于180mm，料石墙不应小于200mm，生土墙不应小于240mm。</w:t>
      </w:r>
    </w:p>
    <w:p>
      <w:pPr>
        <w:pStyle w:val="24"/>
        <w:adjustRightInd w:val="0"/>
        <w:snapToGrid w:val="0"/>
        <w:spacing w:line="360" w:lineRule="auto"/>
        <w:ind w:firstLine="600" w:firstLineChars="0"/>
        <w:rPr>
          <w:rFonts w:ascii="仿宋" w:hAnsi="仿宋" w:eastAsia="仿宋" w:cs="仿宋"/>
          <w:sz w:val="30"/>
          <w:szCs w:val="30"/>
        </w:rPr>
      </w:pPr>
      <w:r>
        <w:rPr>
          <w:rFonts w:hint="eastAsia" w:ascii="仿宋" w:hAnsi="仿宋" w:eastAsia="仿宋" w:cs="仿宋"/>
          <w:sz w:val="30"/>
          <w:szCs w:val="30"/>
        </w:rPr>
        <w:t>7.后砌砖、砌块等刚性隔墙与承重结构应有可靠拉结措施。</w:t>
      </w:r>
    </w:p>
    <w:p>
      <w:pPr>
        <w:pStyle w:val="24"/>
        <w:adjustRightInd w:val="0"/>
        <w:snapToGrid w:val="0"/>
        <w:spacing w:line="360" w:lineRule="auto"/>
        <w:ind w:firstLine="600" w:firstLineChars="0"/>
        <w:rPr>
          <w:rFonts w:ascii="仿宋" w:hAnsi="仿宋" w:eastAsia="仿宋" w:cs="仿宋"/>
          <w:sz w:val="30"/>
          <w:szCs w:val="30"/>
        </w:rPr>
      </w:pPr>
      <w:r>
        <w:rPr>
          <w:rFonts w:hint="eastAsia" w:ascii="仿宋" w:hAnsi="仿宋" w:eastAsia="仿宋" w:cs="仿宋"/>
          <w:sz w:val="30"/>
          <w:szCs w:val="30"/>
        </w:rPr>
        <w:t>生土承重结构、砖木混杂结构等应鉴定为“部分具备防灾措施”或“完全不具备防灾措施”。</w:t>
      </w:r>
    </w:p>
    <w:p>
      <w:pPr>
        <w:widowControl/>
        <w:tabs>
          <w:tab w:val="left" w:pos="6804"/>
        </w:tabs>
        <w:adjustRightInd w:val="0"/>
        <w:snapToGrid w:val="0"/>
        <w:spacing w:line="360" w:lineRule="auto"/>
        <w:jc w:val="center"/>
        <w:outlineLvl w:val="0"/>
        <w:rPr>
          <w:rFonts w:ascii="黑体" w:hAnsi="黑体" w:eastAsia="黑体" w:cs="黑体"/>
          <w:sz w:val="30"/>
          <w:szCs w:val="30"/>
        </w:rPr>
      </w:pPr>
      <w:r>
        <w:rPr>
          <w:rFonts w:hint="eastAsia" w:ascii="黑体" w:hAnsi="黑体" w:eastAsia="黑体" w:cs="黑体"/>
          <w:sz w:val="30"/>
          <w:szCs w:val="30"/>
        </w:rPr>
        <w:t>七、鉴定结论与处理建议</w:t>
      </w:r>
    </w:p>
    <w:p>
      <w:pPr>
        <w:numPr>
          <w:ilvl w:val="0"/>
          <w:numId w:val="1"/>
        </w:numPr>
        <w:adjustRightInd w:val="0"/>
        <w:snapToGrid w:val="0"/>
        <w:spacing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农村住房安全性鉴定报告应包括下列内容，可采用表格形式或文字报告形式。</w:t>
      </w:r>
    </w:p>
    <w:p>
      <w:pPr>
        <w:pStyle w:val="24"/>
        <w:adjustRightInd w:val="0"/>
        <w:snapToGrid w:val="0"/>
        <w:spacing w:line="360" w:lineRule="auto"/>
        <w:ind w:firstLine="0" w:firstLineChars="0"/>
        <w:rPr>
          <w:rFonts w:ascii="仿宋" w:hAnsi="仿宋" w:eastAsia="仿宋" w:cs="仿宋"/>
          <w:sz w:val="30"/>
          <w:szCs w:val="30"/>
        </w:rPr>
      </w:pPr>
      <w:r>
        <w:rPr>
          <w:rFonts w:hint="eastAsia" w:ascii="仿宋" w:hAnsi="仿宋" w:eastAsia="仿宋" w:cs="仿宋"/>
          <w:sz w:val="30"/>
          <w:szCs w:val="30"/>
        </w:rPr>
        <w:t xml:space="preserve">    1.农户基本信息：包括户主姓名、身份证号码、联系电话、贫困户类型、家庭人口等。</w:t>
      </w:r>
    </w:p>
    <w:p>
      <w:pPr>
        <w:pStyle w:val="24"/>
        <w:adjustRightInd w:val="0"/>
        <w:snapToGrid w:val="0"/>
        <w:spacing w:line="360" w:lineRule="auto"/>
        <w:ind w:firstLine="600" w:firstLineChars="0"/>
        <w:rPr>
          <w:rFonts w:ascii="仿宋" w:hAnsi="仿宋" w:eastAsia="仿宋" w:cs="仿宋"/>
          <w:sz w:val="30"/>
          <w:szCs w:val="30"/>
        </w:rPr>
      </w:pPr>
      <w:r>
        <w:rPr>
          <w:rFonts w:hint="eastAsia" w:ascii="仿宋" w:hAnsi="仿宋" w:eastAsia="仿宋" w:cs="仿宋"/>
          <w:sz w:val="30"/>
          <w:szCs w:val="30"/>
        </w:rPr>
        <w:t>2.房屋基本信息：包括所在地址、建造年代、建筑面积、层数、开间、抗震设防烈度、结构形式、承重构件种类、围护墙体材料、楼（屋）面类型及材料等，使用历史和维修情况。</w:t>
      </w:r>
    </w:p>
    <w:p>
      <w:pPr>
        <w:pStyle w:val="24"/>
        <w:adjustRightInd w:val="0"/>
        <w:snapToGrid w:val="0"/>
        <w:spacing w:line="360" w:lineRule="auto"/>
        <w:ind w:firstLine="600" w:firstLineChars="0"/>
        <w:rPr>
          <w:rFonts w:ascii="仿宋" w:hAnsi="仿宋" w:eastAsia="仿宋" w:cs="仿宋"/>
          <w:sz w:val="30"/>
          <w:szCs w:val="30"/>
        </w:rPr>
      </w:pPr>
      <w:r>
        <w:rPr>
          <w:rFonts w:hint="eastAsia" w:ascii="仿宋" w:hAnsi="仿宋" w:eastAsia="仿宋" w:cs="仿宋"/>
          <w:sz w:val="30"/>
          <w:szCs w:val="30"/>
        </w:rPr>
        <w:t>3.鉴定机构，鉴定人员及鉴定日期。</w:t>
      </w:r>
    </w:p>
    <w:p>
      <w:pPr>
        <w:pStyle w:val="24"/>
        <w:adjustRightInd w:val="0"/>
        <w:snapToGrid w:val="0"/>
        <w:spacing w:line="360" w:lineRule="auto"/>
        <w:ind w:firstLine="600" w:firstLineChars="0"/>
        <w:rPr>
          <w:rFonts w:ascii="仿宋" w:hAnsi="仿宋" w:eastAsia="仿宋" w:cs="仿宋"/>
          <w:sz w:val="30"/>
          <w:szCs w:val="30"/>
        </w:rPr>
      </w:pPr>
      <w:r>
        <w:rPr>
          <w:rFonts w:hint="eastAsia" w:ascii="仿宋" w:hAnsi="仿宋" w:eastAsia="仿宋" w:cs="仿宋"/>
          <w:sz w:val="30"/>
          <w:szCs w:val="30"/>
        </w:rPr>
        <w:t>4.房屋危险程度鉴定等级，包括各组成部分（构件）、房屋整体危险程度鉴定等级。</w:t>
      </w:r>
    </w:p>
    <w:p>
      <w:pPr>
        <w:pStyle w:val="24"/>
        <w:adjustRightInd w:val="0"/>
        <w:snapToGrid w:val="0"/>
        <w:spacing w:line="360" w:lineRule="auto"/>
        <w:ind w:firstLine="600" w:firstLineChars="0"/>
        <w:rPr>
          <w:rFonts w:ascii="仿宋" w:hAnsi="仿宋" w:eastAsia="仿宋" w:cs="仿宋"/>
          <w:sz w:val="30"/>
          <w:szCs w:val="30"/>
        </w:rPr>
      </w:pPr>
      <w:r>
        <w:rPr>
          <w:rFonts w:hint="eastAsia" w:ascii="仿宋" w:hAnsi="仿宋" w:eastAsia="仿宋" w:cs="仿宋"/>
          <w:sz w:val="30"/>
          <w:szCs w:val="30"/>
        </w:rPr>
        <w:t>5.防灾措施鉴定结果。</w:t>
      </w:r>
    </w:p>
    <w:p>
      <w:pPr>
        <w:pStyle w:val="24"/>
        <w:adjustRightInd w:val="0"/>
        <w:snapToGrid w:val="0"/>
        <w:spacing w:line="360" w:lineRule="auto"/>
        <w:ind w:firstLine="600" w:firstLineChars="0"/>
        <w:rPr>
          <w:rFonts w:ascii="仿宋" w:hAnsi="仿宋" w:eastAsia="仿宋" w:cs="仿宋"/>
          <w:sz w:val="30"/>
          <w:szCs w:val="30"/>
        </w:rPr>
      </w:pPr>
      <w:r>
        <w:rPr>
          <w:rFonts w:hint="eastAsia" w:ascii="仿宋" w:hAnsi="仿宋" w:eastAsia="仿宋" w:cs="仿宋"/>
          <w:sz w:val="30"/>
          <w:szCs w:val="30"/>
        </w:rPr>
        <w:t>6.鉴定结论及处理建议。</w:t>
      </w:r>
    </w:p>
    <w:p>
      <w:pPr>
        <w:pStyle w:val="24"/>
        <w:adjustRightInd w:val="0"/>
        <w:snapToGrid w:val="0"/>
        <w:spacing w:line="360" w:lineRule="auto"/>
        <w:ind w:firstLine="600" w:firstLineChars="0"/>
        <w:rPr>
          <w:rFonts w:ascii="仿宋" w:hAnsi="仿宋" w:eastAsia="仿宋" w:cs="仿宋"/>
          <w:sz w:val="30"/>
          <w:szCs w:val="30"/>
        </w:rPr>
      </w:pPr>
      <w:r>
        <w:rPr>
          <w:rFonts w:hint="eastAsia" w:ascii="仿宋" w:hAnsi="仿宋" w:eastAsia="仿宋" w:cs="仿宋"/>
          <w:sz w:val="30"/>
          <w:szCs w:val="30"/>
        </w:rPr>
        <w:t>7.调查记录、房屋简图及照片等附件，调查记录应有现场调查人员、农户签字，通过走访建筑工匠了解房屋建造情况时应有工匠签字。</w:t>
      </w:r>
    </w:p>
    <w:p>
      <w:pPr>
        <w:numPr>
          <w:ilvl w:val="0"/>
          <w:numId w:val="1"/>
        </w:numPr>
        <w:adjustRightInd w:val="0"/>
        <w:snapToGrid w:val="0"/>
        <w:spacing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经鉴定为局部危房或整幢危房时，应按下列方式进行处理：</w:t>
      </w:r>
    </w:p>
    <w:p>
      <w:pPr>
        <w:adjustRightInd w:val="0"/>
        <w:snapToGrid w:val="0"/>
        <w:spacing w:line="360" w:lineRule="auto"/>
        <w:rPr>
          <w:rFonts w:ascii="仿宋" w:hAnsi="仿宋" w:eastAsia="仿宋" w:cs="仿宋"/>
          <w:sz w:val="30"/>
          <w:szCs w:val="30"/>
        </w:rPr>
      </w:pPr>
      <w:r>
        <w:rPr>
          <w:rFonts w:hint="eastAsia" w:ascii="仿宋" w:hAnsi="仿宋" w:eastAsia="仿宋" w:cs="仿宋"/>
          <w:sz w:val="30"/>
          <w:szCs w:val="30"/>
        </w:rPr>
        <w:t xml:space="preserve">    1.经鉴定为C级危房的农村住房，鼓励因地制宜进行加固维修，解除危险。</w:t>
      </w:r>
    </w:p>
    <w:p>
      <w:pPr>
        <w:adjustRightInd w:val="0"/>
        <w:snapToGrid w:val="0"/>
        <w:spacing w:line="360" w:lineRule="auto"/>
        <w:ind w:firstLine="600"/>
        <w:rPr>
          <w:rFonts w:ascii="仿宋" w:hAnsi="仿宋" w:eastAsia="仿宋" w:cs="仿宋"/>
          <w:sz w:val="30"/>
          <w:szCs w:val="30"/>
        </w:rPr>
      </w:pPr>
      <w:r>
        <w:rPr>
          <w:rFonts w:hint="eastAsia" w:ascii="仿宋" w:hAnsi="仿宋" w:eastAsia="仿宋" w:cs="仿宋"/>
          <w:sz w:val="30"/>
          <w:szCs w:val="30"/>
        </w:rPr>
        <w:t>2.经鉴定为D级危房，确定已无修缮价值的农村住房，应拆除、置换或重建。</w:t>
      </w:r>
    </w:p>
    <w:p>
      <w:pPr>
        <w:adjustRightInd w:val="0"/>
        <w:snapToGrid w:val="0"/>
        <w:spacing w:line="360" w:lineRule="auto"/>
        <w:ind w:firstLine="600"/>
        <w:rPr>
          <w:rFonts w:ascii="仿宋" w:hAnsi="仿宋" w:eastAsia="仿宋" w:cs="仿宋"/>
          <w:sz w:val="30"/>
          <w:szCs w:val="30"/>
        </w:rPr>
      </w:pPr>
      <w:r>
        <w:rPr>
          <w:rFonts w:hint="eastAsia" w:ascii="仿宋" w:hAnsi="仿宋" w:eastAsia="仿宋" w:cs="仿宋"/>
          <w:sz w:val="30"/>
          <w:szCs w:val="30"/>
        </w:rPr>
        <w:t>3.经鉴定为D级危房，短期内不便拆除又不危及相邻建筑和影响他人安全时，应暂时停止使用，或在采取相应的临时安全措施后，改变用途不再居住，观察使用。</w:t>
      </w:r>
    </w:p>
    <w:p>
      <w:pPr>
        <w:adjustRightInd w:val="0"/>
        <w:snapToGrid w:val="0"/>
        <w:spacing w:line="360" w:lineRule="auto"/>
        <w:ind w:firstLine="600"/>
        <w:rPr>
          <w:rFonts w:ascii="仿宋" w:hAnsi="仿宋" w:eastAsia="仿宋" w:cs="仿宋"/>
          <w:sz w:val="30"/>
          <w:szCs w:val="30"/>
        </w:rPr>
      </w:pPr>
      <w:r>
        <w:rPr>
          <w:rFonts w:hint="eastAsia" w:ascii="仿宋" w:hAnsi="仿宋" w:eastAsia="仿宋" w:cs="仿宋"/>
          <w:sz w:val="30"/>
          <w:szCs w:val="30"/>
        </w:rPr>
        <w:t>4.有保护价值的D级传统民居及有历史文化价值的建筑等，应专门研究后确定处理方案。</w:t>
      </w:r>
    </w:p>
    <w:p>
      <w:pPr>
        <w:adjustRightInd w:val="0"/>
        <w:snapToGrid w:val="0"/>
        <w:spacing w:line="360" w:lineRule="auto"/>
        <w:ind w:firstLine="600"/>
        <w:rPr>
          <w:rFonts w:ascii="仿宋" w:hAnsi="仿宋" w:eastAsia="仿宋" w:cs="仿宋"/>
          <w:sz w:val="30"/>
          <w:szCs w:val="30"/>
        </w:rPr>
      </w:pPr>
      <w:r>
        <w:rPr>
          <w:rFonts w:hint="eastAsia" w:ascii="仿宋" w:hAnsi="仿宋" w:eastAsia="仿宋" w:cs="仿宋"/>
          <w:sz w:val="30"/>
          <w:szCs w:val="30"/>
        </w:rPr>
        <w:t>5.确定加固维修方案时，应将消除房屋局部危险与抗震构造措施加固综合考虑。</w:t>
      </w:r>
    </w:p>
    <w:p>
      <w:pPr>
        <w:adjustRightInd w:val="0"/>
        <w:snapToGrid w:val="0"/>
        <w:spacing w:line="360" w:lineRule="auto"/>
        <w:ind w:firstLine="600"/>
        <w:rPr>
          <w:rFonts w:ascii="仿宋" w:hAnsi="仿宋" w:eastAsia="仿宋" w:cs="仿宋"/>
          <w:sz w:val="30"/>
          <w:szCs w:val="30"/>
        </w:rPr>
      </w:pPr>
      <w:r>
        <w:rPr>
          <w:rFonts w:hint="eastAsia" w:ascii="仿宋" w:hAnsi="仿宋" w:eastAsia="仿宋" w:cs="仿宋"/>
          <w:sz w:val="30"/>
          <w:szCs w:val="30"/>
        </w:rPr>
        <w:t>6.当条件允许时，加固维修宜结合房屋宜居性改造和节能改造同步进行。</w:t>
      </w:r>
    </w:p>
    <w:sectPr>
      <w:footerReference r:id="rId3" w:type="default"/>
      <w:pgSz w:w="11906" w:h="16838"/>
      <w:pgMar w:top="1418" w:right="1701" w:bottom="1418"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6"/>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644BAF"/>
    <w:multiLevelType w:val="multilevel"/>
    <w:tmpl w:val="12644BAF"/>
    <w:lvl w:ilvl="0" w:tentative="0">
      <w:start w:val="1"/>
      <w:numFmt w:val="japaneseCounting"/>
      <w:lvlText w:val="第%1条"/>
      <w:lvlJc w:val="left"/>
      <w:pPr>
        <w:ind w:left="988" w:hanging="420"/>
      </w:pPr>
      <w:rPr>
        <w:rFonts w:hint="default"/>
        <w:b/>
        <w:color w:val="auto"/>
        <w:lang w:val="en-US"/>
      </w:rPr>
    </w:lvl>
    <w:lvl w:ilvl="1" w:tentative="0">
      <w:start w:val="1"/>
      <w:numFmt w:val="decimal"/>
      <w:lvlText w:val="%2"/>
      <w:lvlJc w:val="left"/>
      <w:pPr>
        <w:ind w:left="1620" w:hanging="360"/>
      </w:pPr>
      <w:rPr>
        <w:rFonts w:hint="default"/>
      </w:r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741"/>
    <w:rsid w:val="00001897"/>
    <w:rsid w:val="000023CA"/>
    <w:rsid w:val="00005B93"/>
    <w:rsid w:val="00010319"/>
    <w:rsid w:val="00010334"/>
    <w:rsid w:val="00010FA3"/>
    <w:rsid w:val="00011807"/>
    <w:rsid w:val="00011FCD"/>
    <w:rsid w:val="000213D1"/>
    <w:rsid w:val="00033486"/>
    <w:rsid w:val="000340DA"/>
    <w:rsid w:val="000348E6"/>
    <w:rsid w:val="00034D69"/>
    <w:rsid w:val="000366D8"/>
    <w:rsid w:val="000376AE"/>
    <w:rsid w:val="000378CF"/>
    <w:rsid w:val="000429E2"/>
    <w:rsid w:val="00044361"/>
    <w:rsid w:val="0004476D"/>
    <w:rsid w:val="00046D5F"/>
    <w:rsid w:val="0005513B"/>
    <w:rsid w:val="00063035"/>
    <w:rsid w:val="00073487"/>
    <w:rsid w:val="00073B36"/>
    <w:rsid w:val="0007428C"/>
    <w:rsid w:val="00074DF2"/>
    <w:rsid w:val="000777EF"/>
    <w:rsid w:val="0008073F"/>
    <w:rsid w:val="00085C0C"/>
    <w:rsid w:val="000875DA"/>
    <w:rsid w:val="00090194"/>
    <w:rsid w:val="000904AC"/>
    <w:rsid w:val="00092BB3"/>
    <w:rsid w:val="0009385A"/>
    <w:rsid w:val="000A01C5"/>
    <w:rsid w:val="000A3D67"/>
    <w:rsid w:val="000A604F"/>
    <w:rsid w:val="000A7422"/>
    <w:rsid w:val="000B0F02"/>
    <w:rsid w:val="000B2E34"/>
    <w:rsid w:val="000B4C7D"/>
    <w:rsid w:val="000B5181"/>
    <w:rsid w:val="000B5C2D"/>
    <w:rsid w:val="000B7A3D"/>
    <w:rsid w:val="000C10EF"/>
    <w:rsid w:val="000C188A"/>
    <w:rsid w:val="000C2475"/>
    <w:rsid w:val="000C2FF0"/>
    <w:rsid w:val="000C4C11"/>
    <w:rsid w:val="000C62E0"/>
    <w:rsid w:val="000C716D"/>
    <w:rsid w:val="000C73E9"/>
    <w:rsid w:val="000D69F0"/>
    <w:rsid w:val="000D6C06"/>
    <w:rsid w:val="000D71AF"/>
    <w:rsid w:val="000E348C"/>
    <w:rsid w:val="000E5613"/>
    <w:rsid w:val="000F1CA1"/>
    <w:rsid w:val="000F579A"/>
    <w:rsid w:val="000F7043"/>
    <w:rsid w:val="00100299"/>
    <w:rsid w:val="00100742"/>
    <w:rsid w:val="00104361"/>
    <w:rsid w:val="0010690C"/>
    <w:rsid w:val="00106C12"/>
    <w:rsid w:val="001120A4"/>
    <w:rsid w:val="00112824"/>
    <w:rsid w:val="0011434D"/>
    <w:rsid w:val="00115259"/>
    <w:rsid w:val="001152B2"/>
    <w:rsid w:val="00115724"/>
    <w:rsid w:val="0011690A"/>
    <w:rsid w:val="00121FF5"/>
    <w:rsid w:val="0012356C"/>
    <w:rsid w:val="0012371A"/>
    <w:rsid w:val="00125C8D"/>
    <w:rsid w:val="001300B8"/>
    <w:rsid w:val="001309A9"/>
    <w:rsid w:val="00130E3F"/>
    <w:rsid w:val="00135C03"/>
    <w:rsid w:val="00141EDF"/>
    <w:rsid w:val="00147BC5"/>
    <w:rsid w:val="001511EC"/>
    <w:rsid w:val="001530F6"/>
    <w:rsid w:val="00153C61"/>
    <w:rsid w:val="001548F0"/>
    <w:rsid w:val="00161B98"/>
    <w:rsid w:val="00170852"/>
    <w:rsid w:val="00171E92"/>
    <w:rsid w:val="00171EC0"/>
    <w:rsid w:val="00174C80"/>
    <w:rsid w:val="00176B28"/>
    <w:rsid w:val="00176D77"/>
    <w:rsid w:val="001818D5"/>
    <w:rsid w:val="0018562E"/>
    <w:rsid w:val="00191525"/>
    <w:rsid w:val="00191845"/>
    <w:rsid w:val="001A1A60"/>
    <w:rsid w:val="001A1AE6"/>
    <w:rsid w:val="001A246C"/>
    <w:rsid w:val="001A3E0A"/>
    <w:rsid w:val="001B11B4"/>
    <w:rsid w:val="001B189B"/>
    <w:rsid w:val="001B52AE"/>
    <w:rsid w:val="001B6AAF"/>
    <w:rsid w:val="001C1062"/>
    <w:rsid w:val="001C6340"/>
    <w:rsid w:val="001C6C32"/>
    <w:rsid w:val="001D31E2"/>
    <w:rsid w:val="001D4796"/>
    <w:rsid w:val="001D5FA1"/>
    <w:rsid w:val="001D6A29"/>
    <w:rsid w:val="001E0B30"/>
    <w:rsid w:val="001E45DF"/>
    <w:rsid w:val="001E50AC"/>
    <w:rsid w:val="001E56FD"/>
    <w:rsid w:val="001E7971"/>
    <w:rsid w:val="001E7D39"/>
    <w:rsid w:val="001F1237"/>
    <w:rsid w:val="00202B15"/>
    <w:rsid w:val="0020718A"/>
    <w:rsid w:val="00214BB8"/>
    <w:rsid w:val="00220737"/>
    <w:rsid w:val="00221ED9"/>
    <w:rsid w:val="002271EA"/>
    <w:rsid w:val="0023041A"/>
    <w:rsid w:val="0023098E"/>
    <w:rsid w:val="002320C1"/>
    <w:rsid w:val="00234243"/>
    <w:rsid w:val="00236B49"/>
    <w:rsid w:val="00237769"/>
    <w:rsid w:val="0024096E"/>
    <w:rsid w:val="0024330D"/>
    <w:rsid w:val="00243BAA"/>
    <w:rsid w:val="00251830"/>
    <w:rsid w:val="00252817"/>
    <w:rsid w:val="002560F1"/>
    <w:rsid w:val="00261CFE"/>
    <w:rsid w:val="002645B0"/>
    <w:rsid w:val="00272CB2"/>
    <w:rsid w:val="00281614"/>
    <w:rsid w:val="002831C6"/>
    <w:rsid w:val="002840BB"/>
    <w:rsid w:val="0028415C"/>
    <w:rsid w:val="00287BBB"/>
    <w:rsid w:val="00290212"/>
    <w:rsid w:val="00290EB2"/>
    <w:rsid w:val="0029144C"/>
    <w:rsid w:val="0029534B"/>
    <w:rsid w:val="00296BE4"/>
    <w:rsid w:val="002A0C11"/>
    <w:rsid w:val="002A627E"/>
    <w:rsid w:val="002A6D90"/>
    <w:rsid w:val="002B0F43"/>
    <w:rsid w:val="002B1003"/>
    <w:rsid w:val="002B4DE0"/>
    <w:rsid w:val="002B53BF"/>
    <w:rsid w:val="002B58CB"/>
    <w:rsid w:val="002B6BE5"/>
    <w:rsid w:val="002B798E"/>
    <w:rsid w:val="002C1323"/>
    <w:rsid w:val="002C31BA"/>
    <w:rsid w:val="002C6669"/>
    <w:rsid w:val="002D0406"/>
    <w:rsid w:val="002D7B57"/>
    <w:rsid w:val="002D7B8F"/>
    <w:rsid w:val="002E6C06"/>
    <w:rsid w:val="002F13D6"/>
    <w:rsid w:val="002F42F1"/>
    <w:rsid w:val="002F44DC"/>
    <w:rsid w:val="002F5BD4"/>
    <w:rsid w:val="002F6F83"/>
    <w:rsid w:val="003005D4"/>
    <w:rsid w:val="00300E84"/>
    <w:rsid w:val="003052D9"/>
    <w:rsid w:val="00310A8F"/>
    <w:rsid w:val="00314442"/>
    <w:rsid w:val="00321E4F"/>
    <w:rsid w:val="00324160"/>
    <w:rsid w:val="00325C6C"/>
    <w:rsid w:val="0033006E"/>
    <w:rsid w:val="00330AF5"/>
    <w:rsid w:val="0033125F"/>
    <w:rsid w:val="003321F9"/>
    <w:rsid w:val="0034321F"/>
    <w:rsid w:val="003473FC"/>
    <w:rsid w:val="0035575D"/>
    <w:rsid w:val="00357D29"/>
    <w:rsid w:val="00361A77"/>
    <w:rsid w:val="003625F3"/>
    <w:rsid w:val="003627B5"/>
    <w:rsid w:val="00364093"/>
    <w:rsid w:val="00370E70"/>
    <w:rsid w:val="00371D02"/>
    <w:rsid w:val="003812C1"/>
    <w:rsid w:val="00381A30"/>
    <w:rsid w:val="00381B4C"/>
    <w:rsid w:val="00382449"/>
    <w:rsid w:val="0038481A"/>
    <w:rsid w:val="0038588C"/>
    <w:rsid w:val="0038785F"/>
    <w:rsid w:val="00396FDF"/>
    <w:rsid w:val="003A230B"/>
    <w:rsid w:val="003A2428"/>
    <w:rsid w:val="003A3C88"/>
    <w:rsid w:val="003A55E6"/>
    <w:rsid w:val="003B45DF"/>
    <w:rsid w:val="003B4AFE"/>
    <w:rsid w:val="003B517C"/>
    <w:rsid w:val="003B654A"/>
    <w:rsid w:val="003B7AE9"/>
    <w:rsid w:val="003C0E2C"/>
    <w:rsid w:val="003C491F"/>
    <w:rsid w:val="003C561E"/>
    <w:rsid w:val="003D1FCD"/>
    <w:rsid w:val="003D5322"/>
    <w:rsid w:val="003D5E6B"/>
    <w:rsid w:val="003D6212"/>
    <w:rsid w:val="003D669B"/>
    <w:rsid w:val="003E0188"/>
    <w:rsid w:val="003E78FE"/>
    <w:rsid w:val="003F2BC6"/>
    <w:rsid w:val="003F32EC"/>
    <w:rsid w:val="003F413B"/>
    <w:rsid w:val="003F4997"/>
    <w:rsid w:val="003F73AE"/>
    <w:rsid w:val="0040047E"/>
    <w:rsid w:val="00400DAC"/>
    <w:rsid w:val="00401A75"/>
    <w:rsid w:val="00402074"/>
    <w:rsid w:val="004058C6"/>
    <w:rsid w:val="004059BC"/>
    <w:rsid w:val="00407BA8"/>
    <w:rsid w:val="00413C35"/>
    <w:rsid w:val="00414357"/>
    <w:rsid w:val="00421824"/>
    <w:rsid w:val="00422A91"/>
    <w:rsid w:val="0042727C"/>
    <w:rsid w:val="00432F9D"/>
    <w:rsid w:val="00433ECF"/>
    <w:rsid w:val="004367BD"/>
    <w:rsid w:val="004405FB"/>
    <w:rsid w:val="004459E9"/>
    <w:rsid w:val="0045465E"/>
    <w:rsid w:val="004546B0"/>
    <w:rsid w:val="00460AC8"/>
    <w:rsid w:val="00461B70"/>
    <w:rsid w:val="00461E76"/>
    <w:rsid w:val="00461EA4"/>
    <w:rsid w:val="00463DC6"/>
    <w:rsid w:val="004644D3"/>
    <w:rsid w:val="0046637F"/>
    <w:rsid w:val="0047169D"/>
    <w:rsid w:val="004748F0"/>
    <w:rsid w:val="00474B49"/>
    <w:rsid w:val="00476002"/>
    <w:rsid w:val="00477FB2"/>
    <w:rsid w:val="00480090"/>
    <w:rsid w:val="004811C4"/>
    <w:rsid w:val="0049359B"/>
    <w:rsid w:val="00494672"/>
    <w:rsid w:val="0049667A"/>
    <w:rsid w:val="00497DBB"/>
    <w:rsid w:val="004A137B"/>
    <w:rsid w:val="004A3486"/>
    <w:rsid w:val="004A3DB1"/>
    <w:rsid w:val="004A791C"/>
    <w:rsid w:val="004A7A21"/>
    <w:rsid w:val="004B02E5"/>
    <w:rsid w:val="004B05C9"/>
    <w:rsid w:val="004B3F27"/>
    <w:rsid w:val="004B50C8"/>
    <w:rsid w:val="004C09C2"/>
    <w:rsid w:val="004C1887"/>
    <w:rsid w:val="004C6B0B"/>
    <w:rsid w:val="004D6BF9"/>
    <w:rsid w:val="004E1DFE"/>
    <w:rsid w:val="004E2A17"/>
    <w:rsid w:val="004E3BA9"/>
    <w:rsid w:val="004E3F94"/>
    <w:rsid w:val="004E51D8"/>
    <w:rsid w:val="004F2048"/>
    <w:rsid w:val="004F2135"/>
    <w:rsid w:val="004F46CB"/>
    <w:rsid w:val="00500908"/>
    <w:rsid w:val="00505652"/>
    <w:rsid w:val="005103D0"/>
    <w:rsid w:val="0051115C"/>
    <w:rsid w:val="00512B42"/>
    <w:rsid w:val="00515092"/>
    <w:rsid w:val="00515784"/>
    <w:rsid w:val="00523C11"/>
    <w:rsid w:val="005240CA"/>
    <w:rsid w:val="005246AE"/>
    <w:rsid w:val="00524BE7"/>
    <w:rsid w:val="00525195"/>
    <w:rsid w:val="00525F37"/>
    <w:rsid w:val="00527ACC"/>
    <w:rsid w:val="0053040D"/>
    <w:rsid w:val="00532F98"/>
    <w:rsid w:val="005359EF"/>
    <w:rsid w:val="00536CEA"/>
    <w:rsid w:val="00536D77"/>
    <w:rsid w:val="005374F7"/>
    <w:rsid w:val="00537D59"/>
    <w:rsid w:val="00537DE4"/>
    <w:rsid w:val="005412A5"/>
    <w:rsid w:val="0054210D"/>
    <w:rsid w:val="005434B4"/>
    <w:rsid w:val="00544A38"/>
    <w:rsid w:val="00545255"/>
    <w:rsid w:val="005460D9"/>
    <w:rsid w:val="0055293D"/>
    <w:rsid w:val="005536D7"/>
    <w:rsid w:val="00553FC9"/>
    <w:rsid w:val="00555AB0"/>
    <w:rsid w:val="00567F2E"/>
    <w:rsid w:val="00571F97"/>
    <w:rsid w:val="0057356B"/>
    <w:rsid w:val="005762DA"/>
    <w:rsid w:val="00581886"/>
    <w:rsid w:val="00581C02"/>
    <w:rsid w:val="005865E0"/>
    <w:rsid w:val="005906AF"/>
    <w:rsid w:val="005925AB"/>
    <w:rsid w:val="005954A8"/>
    <w:rsid w:val="0059668E"/>
    <w:rsid w:val="005A15C1"/>
    <w:rsid w:val="005B1AEB"/>
    <w:rsid w:val="005B2519"/>
    <w:rsid w:val="005C405C"/>
    <w:rsid w:val="005E1256"/>
    <w:rsid w:val="005E2D05"/>
    <w:rsid w:val="005E4634"/>
    <w:rsid w:val="005E5B25"/>
    <w:rsid w:val="005F08CE"/>
    <w:rsid w:val="005F5953"/>
    <w:rsid w:val="005F5D59"/>
    <w:rsid w:val="00600E24"/>
    <w:rsid w:val="0060205F"/>
    <w:rsid w:val="00602FE8"/>
    <w:rsid w:val="0060422D"/>
    <w:rsid w:val="00604408"/>
    <w:rsid w:val="00610A73"/>
    <w:rsid w:val="00612FD5"/>
    <w:rsid w:val="00614016"/>
    <w:rsid w:val="00614EBA"/>
    <w:rsid w:val="006170B6"/>
    <w:rsid w:val="006177CE"/>
    <w:rsid w:val="0062080C"/>
    <w:rsid w:val="00621B85"/>
    <w:rsid w:val="00624041"/>
    <w:rsid w:val="00624926"/>
    <w:rsid w:val="00634D78"/>
    <w:rsid w:val="00644071"/>
    <w:rsid w:val="0064594B"/>
    <w:rsid w:val="00646984"/>
    <w:rsid w:val="00655D33"/>
    <w:rsid w:val="00662322"/>
    <w:rsid w:val="00662C7F"/>
    <w:rsid w:val="00665A01"/>
    <w:rsid w:val="00666418"/>
    <w:rsid w:val="00666534"/>
    <w:rsid w:val="0067101E"/>
    <w:rsid w:val="0067307C"/>
    <w:rsid w:val="006805CA"/>
    <w:rsid w:val="00680978"/>
    <w:rsid w:val="0068712B"/>
    <w:rsid w:val="006922A8"/>
    <w:rsid w:val="00697B8A"/>
    <w:rsid w:val="006A575D"/>
    <w:rsid w:val="006A789C"/>
    <w:rsid w:val="006B6590"/>
    <w:rsid w:val="006C182F"/>
    <w:rsid w:val="006C2B8D"/>
    <w:rsid w:val="006C30C3"/>
    <w:rsid w:val="006D5468"/>
    <w:rsid w:val="006D57E8"/>
    <w:rsid w:val="006E2215"/>
    <w:rsid w:val="006E4956"/>
    <w:rsid w:val="006E4D49"/>
    <w:rsid w:val="006E62AD"/>
    <w:rsid w:val="006E7642"/>
    <w:rsid w:val="006E7E33"/>
    <w:rsid w:val="006F1467"/>
    <w:rsid w:val="006F4DDB"/>
    <w:rsid w:val="006F4EF2"/>
    <w:rsid w:val="00700AC9"/>
    <w:rsid w:val="00701603"/>
    <w:rsid w:val="0070232C"/>
    <w:rsid w:val="0070275D"/>
    <w:rsid w:val="00705DA5"/>
    <w:rsid w:val="007137DA"/>
    <w:rsid w:val="00717CCA"/>
    <w:rsid w:val="00723970"/>
    <w:rsid w:val="00723FF2"/>
    <w:rsid w:val="007316BD"/>
    <w:rsid w:val="00731F04"/>
    <w:rsid w:val="00731FCB"/>
    <w:rsid w:val="00732FC1"/>
    <w:rsid w:val="00734407"/>
    <w:rsid w:val="007344E1"/>
    <w:rsid w:val="0073586F"/>
    <w:rsid w:val="00740985"/>
    <w:rsid w:val="00742E01"/>
    <w:rsid w:val="00744705"/>
    <w:rsid w:val="0074542A"/>
    <w:rsid w:val="007458E1"/>
    <w:rsid w:val="00745A0E"/>
    <w:rsid w:val="00747F11"/>
    <w:rsid w:val="00751791"/>
    <w:rsid w:val="00753471"/>
    <w:rsid w:val="00753B12"/>
    <w:rsid w:val="00754816"/>
    <w:rsid w:val="00755468"/>
    <w:rsid w:val="0075572A"/>
    <w:rsid w:val="00757A50"/>
    <w:rsid w:val="0076086F"/>
    <w:rsid w:val="00761402"/>
    <w:rsid w:val="0076423B"/>
    <w:rsid w:val="00765056"/>
    <w:rsid w:val="00770E29"/>
    <w:rsid w:val="00773B37"/>
    <w:rsid w:val="00773C5E"/>
    <w:rsid w:val="00775E8E"/>
    <w:rsid w:val="007763B6"/>
    <w:rsid w:val="00776FA5"/>
    <w:rsid w:val="00777BC5"/>
    <w:rsid w:val="00781B6A"/>
    <w:rsid w:val="007824A8"/>
    <w:rsid w:val="00786086"/>
    <w:rsid w:val="0078725C"/>
    <w:rsid w:val="00790697"/>
    <w:rsid w:val="007A1676"/>
    <w:rsid w:val="007A241E"/>
    <w:rsid w:val="007A366C"/>
    <w:rsid w:val="007A399C"/>
    <w:rsid w:val="007B0A06"/>
    <w:rsid w:val="007B10DA"/>
    <w:rsid w:val="007B38B6"/>
    <w:rsid w:val="007B3BE5"/>
    <w:rsid w:val="007B4C09"/>
    <w:rsid w:val="007C0A0D"/>
    <w:rsid w:val="007C4FCC"/>
    <w:rsid w:val="007C6684"/>
    <w:rsid w:val="007C7D2D"/>
    <w:rsid w:val="007D0228"/>
    <w:rsid w:val="007D07BD"/>
    <w:rsid w:val="007D1074"/>
    <w:rsid w:val="007D3C42"/>
    <w:rsid w:val="007D45FC"/>
    <w:rsid w:val="007D5A5D"/>
    <w:rsid w:val="007E0550"/>
    <w:rsid w:val="007E1BCD"/>
    <w:rsid w:val="007E45E8"/>
    <w:rsid w:val="007E6EF8"/>
    <w:rsid w:val="007F1FED"/>
    <w:rsid w:val="007F22F9"/>
    <w:rsid w:val="007F26AF"/>
    <w:rsid w:val="007F4D47"/>
    <w:rsid w:val="0080568B"/>
    <w:rsid w:val="0080583F"/>
    <w:rsid w:val="00806A3D"/>
    <w:rsid w:val="0081488F"/>
    <w:rsid w:val="00814D3C"/>
    <w:rsid w:val="00814D5A"/>
    <w:rsid w:val="00817A8B"/>
    <w:rsid w:val="008328D3"/>
    <w:rsid w:val="00834FC2"/>
    <w:rsid w:val="008354B4"/>
    <w:rsid w:val="008441EF"/>
    <w:rsid w:val="00846DD0"/>
    <w:rsid w:val="00847F02"/>
    <w:rsid w:val="00854657"/>
    <w:rsid w:val="00860246"/>
    <w:rsid w:val="00864FAB"/>
    <w:rsid w:val="0086617A"/>
    <w:rsid w:val="008666EF"/>
    <w:rsid w:val="00867F7D"/>
    <w:rsid w:val="008730AE"/>
    <w:rsid w:val="00880381"/>
    <w:rsid w:val="00882F38"/>
    <w:rsid w:val="008909DC"/>
    <w:rsid w:val="00895070"/>
    <w:rsid w:val="008A178E"/>
    <w:rsid w:val="008A6E92"/>
    <w:rsid w:val="008B08C6"/>
    <w:rsid w:val="008B282B"/>
    <w:rsid w:val="008B513A"/>
    <w:rsid w:val="008B5394"/>
    <w:rsid w:val="008B6177"/>
    <w:rsid w:val="008C510E"/>
    <w:rsid w:val="008D1DEC"/>
    <w:rsid w:val="008D57B0"/>
    <w:rsid w:val="008D5FC1"/>
    <w:rsid w:val="008D6C44"/>
    <w:rsid w:val="008E132E"/>
    <w:rsid w:val="008E2575"/>
    <w:rsid w:val="008E443B"/>
    <w:rsid w:val="008E59E2"/>
    <w:rsid w:val="008E70BF"/>
    <w:rsid w:val="008E7181"/>
    <w:rsid w:val="008E731D"/>
    <w:rsid w:val="008F13EF"/>
    <w:rsid w:val="008F1A44"/>
    <w:rsid w:val="008F2C44"/>
    <w:rsid w:val="008F2CF6"/>
    <w:rsid w:val="008F5ECE"/>
    <w:rsid w:val="008F5F9C"/>
    <w:rsid w:val="00900F45"/>
    <w:rsid w:val="00904080"/>
    <w:rsid w:val="00904C3B"/>
    <w:rsid w:val="00904F89"/>
    <w:rsid w:val="00906AEA"/>
    <w:rsid w:val="00907B3F"/>
    <w:rsid w:val="00926E73"/>
    <w:rsid w:val="00930B22"/>
    <w:rsid w:val="00933BFB"/>
    <w:rsid w:val="0093518C"/>
    <w:rsid w:val="00935595"/>
    <w:rsid w:val="00941E24"/>
    <w:rsid w:val="00945E33"/>
    <w:rsid w:val="00946E08"/>
    <w:rsid w:val="009508EF"/>
    <w:rsid w:val="00951483"/>
    <w:rsid w:val="009527DF"/>
    <w:rsid w:val="00954480"/>
    <w:rsid w:val="009573D5"/>
    <w:rsid w:val="009601F5"/>
    <w:rsid w:val="009603C6"/>
    <w:rsid w:val="00961EBF"/>
    <w:rsid w:val="00964D99"/>
    <w:rsid w:val="009658B7"/>
    <w:rsid w:val="009700FE"/>
    <w:rsid w:val="00977475"/>
    <w:rsid w:val="009853F5"/>
    <w:rsid w:val="00986AB7"/>
    <w:rsid w:val="009919F6"/>
    <w:rsid w:val="0099206C"/>
    <w:rsid w:val="009924F9"/>
    <w:rsid w:val="009949E9"/>
    <w:rsid w:val="009A29B0"/>
    <w:rsid w:val="009A3279"/>
    <w:rsid w:val="009A6FF5"/>
    <w:rsid w:val="009A78F6"/>
    <w:rsid w:val="009B1676"/>
    <w:rsid w:val="009B2AC3"/>
    <w:rsid w:val="009B31AB"/>
    <w:rsid w:val="009B3F80"/>
    <w:rsid w:val="009B55FB"/>
    <w:rsid w:val="009B623B"/>
    <w:rsid w:val="009D5659"/>
    <w:rsid w:val="009E1082"/>
    <w:rsid w:val="009E2016"/>
    <w:rsid w:val="009E2F16"/>
    <w:rsid w:val="009F404E"/>
    <w:rsid w:val="00A031E7"/>
    <w:rsid w:val="00A04D0F"/>
    <w:rsid w:val="00A0659F"/>
    <w:rsid w:val="00A101AC"/>
    <w:rsid w:val="00A13269"/>
    <w:rsid w:val="00A13486"/>
    <w:rsid w:val="00A1483E"/>
    <w:rsid w:val="00A15C48"/>
    <w:rsid w:val="00A179BF"/>
    <w:rsid w:val="00A17FB5"/>
    <w:rsid w:val="00A222ED"/>
    <w:rsid w:val="00A23FAC"/>
    <w:rsid w:val="00A24854"/>
    <w:rsid w:val="00A262CE"/>
    <w:rsid w:val="00A26460"/>
    <w:rsid w:val="00A30A4A"/>
    <w:rsid w:val="00A31345"/>
    <w:rsid w:val="00A314AF"/>
    <w:rsid w:val="00A33890"/>
    <w:rsid w:val="00A36F28"/>
    <w:rsid w:val="00A3773D"/>
    <w:rsid w:val="00A429A4"/>
    <w:rsid w:val="00A45385"/>
    <w:rsid w:val="00A45609"/>
    <w:rsid w:val="00A50C1D"/>
    <w:rsid w:val="00A512E8"/>
    <w:rsid w:val="00A54A91"/>
    <w:rsid w:val="00A5692D"/>
    <w:rsid w:val="00A71755"/>
    <w:rsid w:val="00A72FF5"/>
    <w:rsid w:val="00A73F96"/>
    <w:rsid w:val="00A76D45"/>
    <w:rsid w:val="00A835C8"/>
    <w:rsid w:val="00A83E90"/>
    <w:rsid w:val="00A842E9"/>
    <w:rsid w:val="00A85C55"/>
    <w:rsid w:val="00A900A1"/>
    <w:rsid w:val="00A90406"/>
    <w:rsid w:val="00A90E37"/>
    <w:rsid w:val="00A918F5"/>
    <w:rsid w:val="00A9701A"/>
    <w:rsid w:val="00A97DF5"/>
    <w:rsid w:val="00AA01A8"/>
    <w:rsid w:val="00AA19F3"/>
    <w:rsid w:val="00AA2F37"/>
    <w:rsid w:val="00AA3B94"/>
    <w:rsid w:val="00AA64FD"/>
    <w:rsid w:val="00AA73AE"/>
    <w:rsid w:val="00AA7465"/>
    <w:rsid w:val="00AA7BFC"/>
    <w:rsid w:val="00AB1EB7"/>
    <w:rsid w:val="00AB4255"/>
    <w:rsid w:val="00AB43FE"/>
    <w:rsid w:val="00AB4D78"/>
    <w:rsid w:val="00AB5202"/>
    <w:rsid w:val="00AD07A3"/>
    <w:rsid w:val="00AD1D2E"/>
    <w:rsid w:val="00AD2BDB"/>
    <w:rsid w:val="00AE75C1"/>
    <w:rsid w:val="00AF50BA"/>
    <w:rsid w:val="00AF5127"/>
    <w:rsid w:val="00AF65CC"/>
    <w:rsid w:val="00AF6BA3"/>
    <w:rsid w:val="00B067B8"/>
    <w:rsid w:val="00B07631"/>
    <w:rsid w:val="00B10791"/>
    <w:rsid w:val="00B10F3D"/>
    <w:rsid w:val="00B113E4"/>
    <w:rsid w:val="00B12825"/>
    <w:rsid w:val="00B1656D"/>
    <w:rsid w:val="00B168ED"/>
    <w:rsid w:val="00B201C8"/>
    <w:rsid w:val="00B20D8D"/>
    <w:rsid w:val="00B22715"/>
    <w:rsid w:val="00B23D10"/>
    <w:rsid w:val="00B268A6"/>
    <w:rsid w:val="00B32945"/>
    <w:rsid w:val="00B338DB"/>
    <w:rsid w:val="00B3519D"/>
    <w:rsid w:val="00B35534"/>
    <w:rsid w:val="00B376C6"/>
    <w:rsid w:val="00B44C76"/>
    <w:rsid w:val="00B4681F"/>
    <w:rsid w:val="00B471CD"/>
    <w:rsid w:val="00B502D9"/>
    <w:rsid w:val="00B51D26"/>
    <w:rsid w:val="00B60000"/>
    <w:rsid w:val="00B60C3C"/>
    <w:rsid w:val="00B678F5"/>
    <w:rsid w:val="00B67DA4"/>
    <w:rsid w:val="00B70CD0"/>
    <w:rsid w:val="00B761BC"/>
    <w:rsid w:val="00B80BEE"/>
    <w:rsid w:val="00B81517"/>
    <w:rsid w:val="00B81EBE"/>
    <w:rsid w:val="00B82BAE"/>
    <w:rsid w:val="00B87126"/>
    <w:rsid w:val="00B9209E"/>
    <w:rsid w:val="00B95B43"/>
    <w:rsid w:val="00B95D59"/>
    <w:rsid w:val="00B96C4A"/>
    <w:rsid w:val="00BA415A"/>
    <w:rsid w:val="00BA5E99"/>
    <w:rsid w:val="00BA6602"/>
    <w:rsid w:val="00BB3F5D"/>
    <w:rsid w:val="00BB4363"/>
    <w:rsid w:val="00BC0907"/>
    <w:rsid w:val="00BC6D8A"/>
    <w:rsid w:val="00BD0413"/>
    <w:rsid w:val="00BD1ECD"/>
    <w:rsid w:val="00BD572B"/>
    <w:rsid w:val="00BE0533"/>
    <w:rsid w:val="00BE24B5"/>
    <w:rsid w:val="00BE28BD"/>
    <w:rsid w:val="00BE5ACC"/>
    <w:rsid w:val="00BE6894"/>
    <w:rsid w:val="00BF2047"/>
    <w:rsid w:val="00BF34B4"/>
    <w:rsid w:val="00BF576E"/>
    <w:rsid w:val="00BF5DC4"/>
    <w:rsid w:val="00BF6532"/>
    <w:rsid w:val="00C034B4"/>
    <w:rsid w:val="00C064B7"/>
    <w:rsid w:val="00C114E6"/>
    <w:rsid w:val="00C12151"/>
    <w:rsid w:val="00C1347D"/>
    <w:rsid w:val="00C13AE3"/>
    <w:rsid w:val="00C16122"/>
    <w:rsid w:val="00C16417"/>
    <w:rsid w:val="00C16CF1"/>
    <w:rsid w:val="00C17EBD"/>
    <w:rsid w:val="00C22593"/>
    <w:rsid w:val="00C23879"/>
    <w:rsid w:val="00C252AB"/>
    <w:rsid w:val="00C318AC"/>
    <w:rsid w:val="00C32884"/>
    <w:rsid w:val="00C342A8"/>
    <w:rsid w:val="00C35363"/>
    <w:rsid w:val="00C355DA"/>
    <w:rsid w:val="00C35DBF"/>
    <w:rsid w:val="00C35DFE"/>
    <w:rsid w:val="00C43344"/>
    <w:rsid w:val="00C45A23"/>
    <w:rsid w:val="00C463A9"/>
    <w:rsid w:val="00C507F6"/>
    <w:rsid w:val="00C51A70"/>
    <w:rsid w:val="00C56092"/>
    <w:rsid w:val="00C57775"/>
    <w:rsid w:val="00C64B6F"/>
    <w:rsid w:val="00C661AF"/>
    <w:rsid w:val="00C7147D"/>
    <w:rsid w:val="00C7333B"/>
    <w:rsid w:val="00C82FBB"/>
    <w:rsid w:val="00C844CC"/>
    <w:rsid w:val="00C85E43"/>
    <w:rsid w:val="00C86B09"/>
    <w:rsid w:val="00C93313"/>
    <w:rsid w:val="00C953ED"/>
    <w:rsid w:val="00CA235F"/>
    <w:rsid w:val="00CA2707"/>
    <w:rsid w:val="00CA5865"/>
    <w:rsid w:val="00CB35DC"/>
    <w:rsid w:val="00CB4E4B"/>
    <w:rsid w:val="00CB63B9"/>
    <w:rsid w:val="00CB6FC1"/>
    <w:rsid w:val="00CC239D"/>
    <w:rsid w:val="00CC3477"/>
    <w:rsid w:val="00CC49A5"/>
    <w:rsid w:val="00CC4B92"/>
    <w:rsid w:val="00CC6434"/>
    <w:rsid w:val="00CC6B2E"/>
    <w:rsid w:val="00CD2352"/>
    <w:rsid w:val="00CD2975"/>
    <w:rsid w:val="00CD413F"/>
    <w:rsid w:val="00CD6D7A"/>
    <w:rsid w:val="00CD7657"/>
    <w:rsid w:val="00CD7FB6"/>
    <w:rsid w:val="00CE0216"/>
    <w:rsid w:val="00CE2291"/>
    <w:rsid w:val="00CE2B7E"/>
    <w:rsid w:val="00CE6D7D"/>
    <w:rsid w:val="00CF08EB"/>
    <w:rsid w:val="00CF1696"/>
    <w:rsid w:val="00CF16F5"/>
    <w:rsid w:val="00CF5E12"/>
    <w:rsid w:val="00CF621F"/>
    <w:rsid w:val="00D0369D"/>
    <w:rsid w:val="00D0518F"/>
    <w:rsid w:val="00D052C7"/>
    <w:rsid w:val="00D06107"/>
    <w:rsid w:val="00D12D6A"/>
    <w:rsid w:val="00D13345"/>
    <w:rsid w:val="00D13F4F"/>
    <w:rsid w:val="00D14A66"/>
    <w:rsid w:val="00D160A5"/>
    <w:rsid w:val="00D17B6F"/>
    <w:rsid w:val="00D22253"/>
    <w:rsid w:val="00D270D7"/>
    <w:rsid w:val="00D340E2"/>
    <w:rsid w:val="00D371D8"/>
    <w:rsid w:val="00D3731C"/>
    <w:rsid w:val="00D5406C"/>
    <w:rsid w:val="00D54F1A"/>
    <w:rsid w:val="00D55B86"/>
    <w:rsid w:val="00D625B8"/>
    <w:rsid w:val="00D649A0"/>
    <w:rsid w:val="00D744E0"/>
    <w:rsid w:val="00D74E3D"/>
    <w:rsid w:val="00D778E5"/>
    <w:rsid w:val="00D8324F"/>
    <w:rsid w:val="00D83F60"/>
    <w:rsid w:val="00D846C3"/>
    <w:rsid w:val="00D91840"/>
    <w:rsid w:val="00D9614C"/>
    <w:rsid w:val="00DA08A7"/>
    <w:rsid w:val="00DA2913"/>
    <w:rsid w:val="00DA401D"/>
    <w:rsid w:val="00DA580F"/>
    <w:rsid w:val="00DA59F2"/>
    <w:rsid w:val="00DA73BE"/>
    <w:rsid w:val="00DA7402"/>
    <w:rsid w:val="00DB05EC"/>
    <w:rsid w:val="00DB207D"/>
    <w:rsid w:val="00DB2741"/>
    <w:rsid w:val="00DB4EB9"/>
    <w:rsid w:val="00DC106D"/>
    <w:rsid w:val="00DC4872"/>
    <w:rsid w:val="00DC5773"/>
    <w:rsid w:val="00DC5E55"/>
    <w:rsid w:val="00DD13DA"/>
    <w:rsid w:val="00DD21F8"/>
    <w:rsid w:val="00DD6F3C"/>
    <w:rsid w:val="00DD73C0"/>
    <w:rsid w:val="00DE1F6C"/>
    <w:rsid w:val="00DE700E"/>
    <w:rsid w:val="00DE7523"/>
    <w:rsid w:val="00DE7EFB"/>
    <w:rsid w:val="00DF1A1C"/>
    <w:rsid w:val="00DF2FF9"/>
    <w:rsid w:val="00DF32F6"/>
    <w:rsid w:val="00DF3CB1"/>
    <w:rsid w:val="00DF4F3F"/>
    <w:rsid w:val="00DF558B"/>
    <w:rsid w:val="00E02235"/>
    <w:rsid w:val="00E03CF2"/>
    <w:rsid w:val="00E05CF3"/>
    <w:rsid w:val="00E1012D"/>
    <w:rsid w:val="00E1332C"/>
    <w:rsid w:val="00E13EA0"/>
    <w:rsid w:val="00E16F29"/>
    <w:rsid w:val="00E201CD"/>
    <w:rsid w:val="00E2072F"/>
    <w:rsid w:val="00E2275A"/>
    <w:rsid w:val="00E247C7"/>
    <w:rsid w:val="00E262A5"/>
    <w:rsid w:val="00E32969"/>
    <w:rsid w:val="00E33F88"/>
    <w:rsid w:val="00E36BFE"/>
    <w:rsid w:val="00E37534"/>
    <w:rsid w:val="00E37662"/>
    <w:rsid w:val="00E37DB4"/>
    <w:rsid w:val="00E407F7"/>
    <w:rsid w:val="00E440B2"/>
    <w:rsid w:val="00E52D78"/>
    <w:rsid w:val="00E5329D"/>
    <w:rsid w:val="00E53D9B"/>
    <w:rsid w:val="00E60CA3"/>
    <w:rsid w:val="00E65E5E"/>
    <w:rsid w:val="00E74F06"/>
    <w:rsid w:val="00E777F5"/>
    <w:rsid w:val="00E77FF5"/>
    <w:rsid w:val="00E80D2B"/>
    <w:rsid w:val="00E8353A"/>
    <w:rsid w:val="00E839D2"/>
    <w:rsid w:val="00E83D91"/>
    <w:rsid w:val="00E84723"/>
    <w:rsid w:val="00E849FC"/>
    <w:rsid w:val="00E85D74"/>
    <w:rsid w:val="00E8648C"/>
    <w:rsid w:val="00E92E86"/>
    <w:rsid w:val="00E936AD"/>
    <w:rsid w:val="00E94D9C"/>
    <w:rsid w:val="00EA0FBA"/>
    <w:rsid w:val="00EA191C"/>
    <w:rsid w:val="00EA228D"/>
    <w:rsid w:val="00EA2DA5"/>
    <w:rsid w:val="00EA2F07"/>
    <w:rsid w:val="00EA4636"/>
    <w:rsid w:val="00EA572E"/>
    <w:rsid w:val="00EA7BE4"/>
    <w:rsid w:val="00EB1EFD"/>
    <w:rsid w:val="00EB3AC3"/>
    <w:rsid w:val="00EB60A9"/>
    <w:rsid w:val="00EB7D23"/>
    <w:rsid w:val="00EC14C0"/>
    <w:rsid w:val="00EC432C"/>
    <w:rsid w:val="00EC46ED"/>
    <w:rsid w:val="00EC4E56"/>
    <w:rsid w:val="00EC579C"/>
    <w:rsid w:val="00EC5D7F"/>
    <w:rsid w:val="00EC5E8A"/>
    <w:rsid w:val="00EC78C2"/>
    <w:rsid w:val="00ED0D8A"/>
    <w:rsid w:val="00ED21E0"/>
    <w:rsid w:val="00ED345A"/>
    <w:rsid w:val="00ED3919"/>
    <w:rsid w:val="00ED76C8"/>
    <w:rsid w:val="00EE7764"/>
    <w:rsid w:val="00EF3A44"/>
    <w:rsid w:val="00EF401E"/>
    <w:rsid w:val="00EF40E6"/>
    <w:rsid w:val="00EF54B8"/>
    <w:rsid w:val="00EF5697"/>
    <w:rsid w:val="00F040FD"/>
    <w:rsid w:val="00F05268"/>
    <w:rsid w:val="00F06B00"/>
    <w:rsid w:val="00F07364"/>
    <w:rsid w:val="00F0742D"/>
    <w:rsid w:val="00F07B41"/>
    <w:rsid w:val="00F121B3"/>
    <w:rsid w:val="00F13840"/>
    <w:rsid w:val="00F14364"/>
    <w:rsid w:val="00F15128"/>
    <w:rsid w:val="00F1585E"/>
    <w:rsid w:val="00F211EB"/>
    <w:rsid w:val="00F240CE"/>
    <w:rsid w:val="00F25BF1"/>
    <w:rsid w:val="00F2771C"/>
    <w:rsid w:val="00F34B61"/>
    <w:rsid w:val="00F352A1"/>
    <w:rsid w:val="00F40418"/>
    <w:rsid w:val="00F40984"/>
    <w:rsid w:val="00F40C6F"/>
    <w:rsid w:val="00F41843"/>
    <w:rsid w:val="00F41D2A"/>
    <w:rsid w:val="00F43C0B"/>
    <w:rsid w:val="00F43F51"/>
    <w:rsid w:val="00F46F28"/>
    <w:rsid w:val="00F473B5"/>
    <w:rsid w:val="00F51779"/>
    <w:rsid w:val="00F53995"/>
    <w:rsid w:val="00F62466"/>
    <w:rsid w:val="00F65F06"/>
    <w:rsid w:val="00F670C1"/>
    <w:rsid w:val="00F70244"/>
    <w:rsid w:val="00F702FC"/>
    <w:rsid w:val="00F747CD"/>
    <w:rsid w:val="00F8145E"/>
    <w:rsid w:val="00F81EB3"/>
    <w:rsid w:val="00F82A5D"/>
    <w:rsid w:val="00F82DD8"/>
    <w:rsid w:val="00F8588C"/>
    <w:rsid w:val="00F96360"/>
    <w:rsid w:val="00FA46F3"/>
    <w:rsid w:val="00FA7953"/>
    <w:rsid w:val="00FB228C"/>
    <w:rsid w:val="00FB2A7D"/>
    <w:rsid w:val="00FB770A"/>
    <w:rsid w:val="00FC350F"/>
    <w:rsid w:val="00FC6655"/>
    <w:rsid w:val="00FC6EE4"/>
    <w:rsid w:val="00FD4E4E"/>
    <w:rsid w:val="00FE442B"/>
    <w:rsid w:val="00FE666B"/>
    <w:rsid w:val="00FE69EC"/>
    <w:rsid w:val="00FE6FE0"/>
    <w:rsid w:val="00FF138F"/>
    <w:rsid w:val="00FF3CCA"/>
    <w:rsid w:val="00FF4A2C"/>
    <w:rsid w:val="00FF589A"/>
    <w:rsid w:val="00FF61E6"/>
    <w:rsid w:val="00FF74EF"/>
    <w:rsid w:val="17D55772"/>
    <w:rsid w:val="1FE32C0E"/>
    <w:rsid w:val="2C866CCF"/>
    <w:rsid w:val="3EE5198E"/>
    <w:rsid w:val="5B9C06A9"/>
    <w:rsid w:val="6AEE6D64"/>
    <w:rsid w:val="7775ADEE"/>
    <w:rsid w:val="777BA6BC"/>
    <w:rsid w:val="7C877FB0"/>
    <w:rsid w:val="B6BF7E38"/>
    <w:rsid w:val="DBBF90C9"/>
    <w:rsid w:val="EFFF634A"/>
    <w:rsid w:val="FD66E881"/>
    <w:rsid w:val="FFEF471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qFormat="1" w:uiPriority="99" w:name="Body Text First Indent"/>
    <w:lsdException w:uiPriority="99"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iPriority="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22"/>
    <w:semiHidden/>
    <w:qFormat/>
    <w:uiPriority w:val="99"/>
    <w:pPr>
      <w:shd w:val="clear" w:color="auto" w:fill="000080"/>
    </w:pPr>
  </w:style>
  <w:style w:type="paragraph" w:styleId="3">
    <w:name w:val="Body Text"/>
    <w:basedOn w:val="1"/>
    <w:link w:val="26"/>
    <w:semiHidden/>
    <w:unhideWhenUsed/>
    <w:qFormat/>
    <w:uiPriority w:val="99"/>
    <w:pPr>
      <w:spacing w:after="120"/>
    </w:pPr>
  </w:style>
  <w:style w:type="paragraph" w:styleId="4">
    <w:name w:val="Date"/>
    <w:basedOn w:val="1"/>
    <w:next w:val="1"/>
    <w:link w:val="17"/>
    <w:qFormat/>
    <w:uiPriority w:val="99"/>
    <w:pPr>
      <w:ind w:left="100" w:leftChars="2500"/>
    </w:pPr>
    <w:rPr>
      <w:kern w:val="0"/>
      <w:sz w:val="24"/>
      <w:szCs w:val="24"/>
    </w:rPr>
  </w:style>
  <w:style w:type="paragraph" w:styleId="5">
    <w:name w:val="Balloon Text"/>
    <w:basedOn w:val="1"/>
    <w:link w:val="21"/>
    <w:semiHidden/>
    <w:qFormat/>
    <w:uiPriority w:val="99"/>
    <w:rPr>
      <w:kern w:val="0"/>
      <w:sz w:val="18"/>
      <w:szCs w:val="18"/>
    </w:rPr>
  </w:style>
  <w:style w:type="paragraph" w:styleId="6">
    <w:name w:val="footer"/>
    <w:basedOn w:val="1"/>
    <w:link w:val="19"/>
    <w:qFormat/>
    <w:uiPriority w:val="99"/>
    <w:pPr>
      <w:tabs>
        <w:tab w:val="center" w:pos="4153"/>
        <w:tab w:val="right" w:pos="8306"/>
      </w:tabs>
      <w:snapToGrid w:val="0"/>
      <w:jc w:val="left"/>
    </w:pPr>
    <w:rPr>
      <w:sz w:val="18"/>
      <w:szCs w:val="18"/>
    </w:rPr>
  </w:style>
  <w:style w:type="paragraph" w:styleId="7">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2"/>
    <w:basedOn w:val="1"/>
    <w:link w:val="15"/>
    <w:qFormat/>
    <w:uiPriority w:val="99"/>
    <w:pPr>
      <w:spacing w:after="120" w:line="480" w:lineRule="auto"/>
    </w:pPr>
    <w:rPr>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paragraph" w:styleId="10">
    <w:name w:val="Body Text First Indent"/>
    <w:basedOn w:val="3"/>
    <w:link w:val="27"/>
    <w:semiHidden/>
    <w:unhideWhenUsed/>
    <w:qFormat/>
    <w:uiPriority w:val="99"/>
    <w:pPr>
      <w:ind w:firstLine="420" w:firstLineChars="100"/>
    </w:pPr>
  </w:style>
  <w:style w:type="character" w:styleId="13">
    <w:name w:val="Hyperlink"/>
    <w:basedOn w:val="12"/>
    <w:qFormat/>
    <w:uiPriority w:val="99"/>
    <w:rPr>
      <w:color w:val="0000FF"/>
      <w:u w:val="single"/>
    </w:rPr>
  </w:style>
  <w:style w:type="paragraph" w:customStyle="1" w:styleId="14">
    <w:name w:val="Char Char Char Char Char Char Char"/>
    <w:basedOn w:val="1"/>
    <w:qFormat/>
    <w:uiPriority w:val="99"/>
    <w:pPr>
      <w:widowControl/>
      <w:spacing w:after="160" w:line="240" w:lineRule="exact"/>
      <w:jc w:val="left"/>
    </w:pPr>
    <w:rPr>
      <w:rFonts w:ascii="Arial" w:hAnsi="Arial" w:cs="Arial"/>
      <w:b/>
      <w:bCs/>
      <w:kern w:val="0"/>
      <w:sz w:val="24"/>
      <w:szCs w:val="24"/>
      <w:lang w:eastAsia="en-US"/>
    </w:rPr>
  </w:style>
  <w:style w:type="character" w:customStyle="1" w:styleId="15">
    <w:name w:val="正文文本 2 字符"/>
    <w:basedOn w:val="12"/>
    <w:link w:val="8"/>
    <w:semiHidden/>
    <w:qFormat/>
    <w:locked/>
    <w:uiPriority w:val="99"/>
    <w:rPr>
      <w:sz w:val="24"/>
      <w:szCs w:val="24"/>
    </w:rPr>
  </w:style>
  <w:style w:type="paragraph" w:customStyle="1" w:styleId="16">
    <w:name w:val="说明"/>
    <w:basedOn w:val="1"/>
    <w:qFormat/>
    <w:uiPriority w:val="99"/>
    <w:pPr>
      <w:spacing w:line="400" w:lineRule="atLeast"/>
    </w:pPr>
    <w:rPr>
      <w:rFonts w:ascii="楷体_GB2312" w:eastAsia="楷体_GB2312" w:cs="楷体_GB2312"/>
      <w:sz w:val="24"/>
      <w:szCs w:val="24"/>
    </w:rPr>
  </w:style>
  <w:style w:type="character" w:customStyle="1" w:styleId="17">
    <w:name w:val="日期 字符"/>
    <w:basedOn w:val="12"/>
    <w:link w:val="4"/>
    <w:semiHidden/>
    <w:qFormat/>
    <w:locked/>
    <w:uiPriority w:val="99"/>
    <w:rPr>
      <w:sz w:val="24"/>
      <w:szCs w:val="24"/>
    </w:rPr>
  </w:style>
  <w:style w:type="character" w:customStyle="1" w:styleId="18">
    <w:name w:val="页眉 字符"/>
    <w:basedOn w:val="12"/>
    <w:link w:val="7"/>
    <w:qFormat/>
    <w:locked/>
    <w:uiPriority w:val="99"/>
    <w:rPr>
      <w:kern w:val="2"/>
      <w:sz w:val="18"/>
      <w:szCs w:val="18"/>
    </w:rPr>
  </w:style>
  <w:style w:type="character" w:customStyle="1" w:styleId="19">
    <w:name w:val="页脚 字符"/>
    <w:basedOn w:val="12"/>
    <w:link w:val="6"/>
    <w:qFormat/>
    <w:locked/>
    <w:uiPriority w:val="99"/>
    <w:rPr>
      <w:kern w:val="2"/>
      <w:sz w:val="18"/>
      <w:szCs w:val="18"/>
    </w:rPr>
  </w:style>
  <w:style w:type="paragraph" w:customStyle="1" w:styleId="20">
    <w:name w:val="修订1"/>
    <w:hidden/>
    <w:semiHidden/>
    <w:qFormat/>
    <w:uiPriority w:val="99"/>
    <w:rPr>
      <w:rFonts w:ascii="Times New Roman" w:hAnsi="Times New Roman" w:eastAsia="宋体" w:cs="Times New Roman"/>
      <w:kern w:val="2"/>
      <w:sz w:val="21"/>
      <w:szCs w:val="21"/>
      <w:lang w:val="en-US" w:eastAsia="zh-CN" w:bidi="ar-SA"/>
    </w:rPr>
  </w:style>
  <w:style w:type="character" w:customStyle="1" w:styleId="21">
    <w:name w:val="批注框文本 字符"/>
    <w:basedOn w:val="12"/>
    <w:link w:val="5"/>
    <w:semiHidden/>
    <w:qFormat/>
    <w:locked/>
    <w:uiPriority w:val="99"/>
    <w:rPr>
      <w:sz w:val="18"/>
      <w:szCs w:val="18"/>
    </w:rPr>
  </w:style>
  <w:style w:type="character" w:customStyle="1" w:styleId="22">
    <w:name w:val="文档结构图 字符"/>
    <w:basedOn w:val="12"/>
    <w:link w:val="2"/>
    <w:semiHidden/>
    <w:qFormat/>
    <w:locked/>
    <w:uiPriority w:val="99"/>
    <w:rPr>
      <w:sz w:val="2"/>
      <w:szCs w:val="2"/>
    </w:rPr>
  </w:style>
  <w:style w:type="paragraph" w:customStyle="1" w:styleId="23">
    <w:name w:val="Char Char1 Char Char 字元 字元"/>
    <w:basedOn w:val="1"/>
    <w:qFormat/>
    <w:uiPriority w:val="0"/>
    <w:pPr>
      <w:spacing w:line="360" w:lineRule="auto"/>
      <w:ind w:firstLine="200" w:firstLineChars="200"/>
    </w:pPr>
    <w:rPr>
      <w:rFonts w:ascii="宋体" w:hAnsi="宋体" w:cs="宋体"/>
      <w:sz w:val="24"/>
      <w:szCs w:val="24"/>
    </w:rPr>
  </w:style>
  <w:style w:type="paragraph" w:styleId="24">
    <w:name w:val="List Paragraph"/>
    <w:basedOn w:val="1"/>
    <w:qFormat/>
    <w:uiPriority w:val="99"/>
    <w:pPr>
      <w:ind w:firstLine="420" w:firstLineChars="200"/>
    </w:pPr>
  </w:style>
  <w:style w:type="paragraph" w:customStyle="1" w:styleId="25">
    <w:name w:val="Char Char1"/>
    <w:basedOn w:val="1"/>
    <w:qFormat/>
    <w:uiPriority w:val="0"/>
    <w:pPr>
      <w:widowControl/>
      <w:spacing w:after="160" w:line="240" w:lineRule="exact"/>
      <w:jc w:val="left"/>
    </w:pPr>
    <w:rPr>
      <w:rFonts w:ascii="Verdana" w:hAnsi="Verdana"/>
      <w:kern w:val="0"/>
      <w:sz w:val="20"/>
      <w:szCs w:val="20"/>
      <w:lang w:eastAsia="en-US"/>
    </w:rPr>
  </w:style>
  <w:style w:type="character" w:customStyle="1" w:styleId="26">
    <w:name w:val="正文文本 字符"/>
    <w:basedOn w:val="12"/>
    <w:link w:val="3"/>
    <w:semiHidden/>
    <w:qFormat/>
    <w:uiPriority w:val="99"/>
    <w:rPr>
      <w:szCs w:val="21"/>
    </w:rPr>
  </w:style>
  <w:style w:type="character" w:customStyle="1" w:styleId="27">
    <w:name w:val="正文首行缩进 字符"/>
    <w:basedOn w:val="26"/>
    <w:link w:val="10"/>
    <w:semiHidden/>
    <w:qFormat/>
    <w:uiPriority w:val="99"/>
    <w:rPr>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charles</Company>
  <Pages>12</Pages>
  <Words>5555</Words>
  <Characters>132</Characters>
  <Lines>1</Lines>
  <Paragraphs>11</Paragraphs>
  <TotalTime>1</TotalTime>
  <ScaleCrop>false</ScaleCrop>
  <LinksUpToDate>false</LinksUpToDate>
  <CharactersWithSpaces>5676</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2023-04-03T03:46:00Z</dcterms:created>
  <dc:creator>charles</dc:creator>
  <cp:lastModifiedBy>左右</cp:lastModifiedBy>
  <cp:lastPrinted>2019-11-29T22:14:00Z</cp:lastPrinted>
  <dcterms:modified xsi:type="dcterms:W3CDTF">2023-09-01T05:59:57Z</dcterms:modified>
  <dc:title>关于对国家标准《预拌混凝土》（征求意见稿）</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863B71B593B34DC99CABFA5A6755EC33_13</vt:lpwstr>
  </property>
</Properties>
</file>